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039A" w14:textId="04668E7A" w:rsidR="00125F06" w:rsidRPr="00DD5A68" w:rsidRDefault="00125F06">
      <w:r w:rsidRPr="00DD5A68">
        <w:rPr>
          <w:rFonts w:ascii="Fedra Sans Pro Light" w:hAnsi="Fedra Sans Pro Light"/>
          <w:lang w:eastAsia="hr-HR"/>
        </w:rPr>
        <w:drawing>
          <wp:anchor distT="0" distB="0" distL="114300" distR="114300" simplePos="0" relativeHeight="251659264" behindDoc="0" locked="0" layoutInCell="1" allowOverlap="1" wp14:anchorId="40F9FBA3" wp14:editId="513764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9920" cy="952500"/>
            <wp:effectExtent l="0" t="0" r="6350" b="0"/>
            <wp:wrapNone/>
            <wp:docPr id="1" name="Slika 1" descr="asoo_logo_h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asoo_logo_hr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C36" w:rsidRPr="00DD5A68">
        <w:t xml:space="preserve"> </w:t>
      </w:r>
    </w:p>
    <w:p w14:paraId="380FDEF2" w14:textId="77777777" w:rsidR="00125F06" w:rsidRPr="00DD5A68" w:rsidRDefault="00125F06"/>
    <w:p w14:paraId="227CC25E" w14:textId="77777777" w:rsidR="00125F06" w:rsidRPr="00DD5A68" w:rsidRDefault="00125F06"/>
    <w:p w14:paraId="5F53799A" w14:textId="77777777" w:rsidR="004C6B97" w:rsidRPr="00DD5A68" w:rsidRDefault="004C6B97" w:rsidP="007F278C">
      <w:pPr>
        <w:pStyle w:val="NormalWeb"/>
        <w:rPr>
          <w:color w:val="000000"/>
          <w:sz w:val="24"/>
          <w:szCs w:val="24"/>
        </w:rPr>
      </w:pPr>
    </w:p>
    <w:p w14:paraId="6EB96C23" w14:textId="77777777" w:rsidR="00840D47" w:rsidRPr="00DD5A68" w:rsidRDefault="00840D47" w:rsidP="007F4EAA">
      <w:pPr>
        <w:pStyle w:val="NormalWeb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III. Obrazloženje Općeg dijela izvještaja o izvršenju financijskog plana</w:t>
      </w:r>
    </w:p>
    <w:p w14:paraId="5A765CCB" w14:textId="77777777" w:rsidR="00840D47" w:rsidRPr="00DD5A68" w:rsidRDefault="00840D47" w:rsidP="007F4EAA">
      <w:pPr>
        <w:pStyle w:val="NormalWeb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C1D537F" w14:textId="77777777" w:rsidR="00840D47" w:rsidRPr="00DD5A68" w:rsidRDefault="00840D47" w:rsidP="007F4EAA">
      <w:pPr>
        <w:pStyle w:val="NormalWeb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Obrazloženje prihoda</w:t>
      </w:r>
    </w:p>
    <w:p w14:paraId="7FDC7003" w14:textId="77777777" w:rsidR="0040362A" w:rsidRPr="00DD5A68" w:rsidRDefault="0040362A" w:rsidP="0015246C">
      <w:pPr>
        <w:pStyle w:val="NormalWeb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E13658D" w14:textId="77777777" w:rsidR="0040362A" w:rsidRPr="00DD5A68" w:rsidRDefault="0040362A" w:rsidP="0015246C">
      <w:pPr>
        <w:pStyle w:val="NormalWeb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571E7E6" w14:textId="4EF77F12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Ostvareni prihodi u 2024. godini manji su od ostvarenih prihoda u prethodnoj godini za 26,7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14:paraId="0DDA4CF5" w14:textId="77777777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C703C9" w14:textId="5EAE4326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Prihodi se sastoje od Pomoći iz inozemstva (darovnice) -</w:t>
      </w:r>
      <w:r w:rsidR="00C94209"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skupina 63 koje čini Tekuće pomoći od institucija – konto 6323 i Kapitalne pomoći od institucija i tijela EU -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konto 6324 u manjem omjeru. Na navedenim kontima knjiže se prihodi vezani uz aktivnosti operativnog programa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- Učinkoviti ljudski potencijali 2021.-2027. - Prioritet 3 ESF+ projekti i Prioritet 5-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tehnička pomoć – </w:t>
      </w:r>
      <w:r w:rsidR="00DD5A68" w:rsidRPr="00DD5A68">
        <w:rPr>
          <w:rFonts w:ascii="Times New Roman" w:hAnsi="Times New Roman" w:cs="Times New Roman"/>
          <w:color w:val="000000"/>
          <w:sz w:val="24"/>
          <w:szCs w:val="24"/>
        </w:rPr>
        <w:t>DEFCO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="002C7C2D" w:rsidRPr="00DD5A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nizacijska jedinica 2. </w:t>
      </w:r>
    </w:p>
    <w:p w14:paraId="0FE8F304" w14:textId="5E52E9D6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>Kasnije potpisivanje ugovora o dodjeli bespovratnih sredstava utjecalo je na dinamiku  provođenja projektnih aktivnosti što je utjecalo na udjel EU sredstava na ukupnim stavkama prihoda, a posljedično i stavkama rashoda. Rezultat je smanjenje ovih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prihoda u 2024. godini za 40,51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% u usporedbi s prethodnom godinom.</w:t>
      </w:r>
    </w:p>
    <w:p w14:paraId="2DC62CB4" w14:textId="3579A44A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Sljedeća veća skupina prihoda odnosi se na Prihode iz proračuna – skupina 67 koja se sastoji od Prihoda iz nadležnog proračuna - za financiranje rashoda poslovanja -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konto 6711 i -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za financiranje rashoda za </w:t>
      </w:r>
      <w:r w:rsidR="00746151" w:rsidRPr="00DD5A6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abavu nefinancijske imovine -</w:t>
      </w:r>
      <w:r w:rsidR="002C7C2D"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konto 6712. U okviru ovih prihoda nalaze se aktivnosti administracije i upravljanja kao i udio proračunskih sredstava projektnih aktivnosti. Ova vrsta prihoda nešto je veća u 2024. godini te iznosi 5,69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% .</w:t>
      </w:r>
    </w:p>
    <w:p w14:paraId="26ADCCD5" w14:textId="77777777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7E03E" w14:textId="02C683A7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Grafikon </w:t>
      </w:r>
      <w:r w:rsidR="00390BBE" w:rsidRPr="00DD5A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: Omjer prihoda prema skupinama</w:t>
      </w:r>
      <w:r w:rsidR="000E5D68"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za 2024. i 2023. </w:t>
      </w:r>
      <w:r w:rsidR="000E5D68" w:rsidRPr="00DD5A6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odinu</w:t>
      </w:r>
      <w:r w:rsidR="000E5D68"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u EUR</w:t>
      </w:r>
    </w:p>
    <w:p w14:paraId="018294B3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F5958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drawing>
          <wp:inline distT="0" distB="0" distL="0" distR="0" wp14:anchorId="1DAD1A92" wp14:editId="1986CB45">
            <wp:extent cx="5981700" cy="2371725"/>
            <wp:effectExtent l="0" t="0" r="0" b="9525"/>
            <wp:docPr id="9218717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BD778E-E377-49EA-0F50-B381F6A1E1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632EEE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4C5E3" w14:textId="77777777" w:rsidR="003F5BB5" w:rsidRPr="00DD5A68" w:rsidRDefault="003F5BB5" w:rsidP="007F4EAA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A8A39" w14:textId="16A07DD5" w:rsidR="00840D47" w:rsidRPr="00DD5A68" w:rsidRDefault="003A1369" w:rsidP="007F4EAA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Postotak </w:t>
      </w:r>
      <w:r w:rsidR="00840D47" w:rsidRPr="00DD5A68">
        <w:rPr>
          <w:rFonts w:ascii="Times New Roman" w:hAnsi="Times New Roman" w:cs="Times New Roman"/>
          <w:color w:val="000000"/>
          <w:sz w:val="24"/>
          <w:szCs w:val="24"/>
        </w:rPr>
        <w:t>između ostvarenja/izvršenja i tekućeg plana za prihode je 77,28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D47" w:rsidRPr="00DD5A68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14:paraId="46E5B60D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5E89C" w14:textId="0A41B244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Grafikon </w:t>
      </w:r>
      <w:r w:rsidR="00390BBE" w:rsidRPr="00DD5A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: Prikaz izvršenja financijskog plana ukupnih prihoda za 2024. godinu u EUR</w:t>
      </w:r>
    </w:p>
    <w:p w14:paraId="2D39AB59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F46C8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drawing>
          <wp:inline distT="0" distB="0" distL="0" distR="0" wp14:anchorId="173CADB5" wp14:editId="12110641">
            <wp:extent cx="5648325" cy="2847975"/>
            <wp:effectExtent l="0" t="0" r="9525" b="9525"/>
            <wp:docPr id="16283943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D25F3E-962E-789B-797B-AA1D0E387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FB2B23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2DEAA" w14:textId="77777777" w:rsidR="00840D47" w:rsidRPr="00DD5A68" w:rsidRDefault="00840D47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01875" w14:textId="77777777" w:rsidR="003F5BB5" w:rsidRPr="00DD5A68" w:rsidRDefault="003F5BB5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510D4" w14:textId="04133FB8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U godišnjem izvještaju o izvršenju financijskog plana prihodi su prikazani u tablici – I Opći dio -Račun prihoda i rashoda – Izvještaj o prihodima prema ekonomskoj klasifikaciji.</w:t>
      </w:r>
    </w:p>
    <w:p w14:paraId="11334C2B" w14:textId="77777777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DB51B" w14:textId="77777777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E52BF" w14:textId="77777777" w:rsidR="00132CA5" w:rsidRPr="00DD5A68" w:rsidRDefault="00132CA5" w:rsidP="007F4EAA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63BD9" w14:textId="77777777" w:rsidR="00840D47" w:rsidRPr="00DD5A68" w:rsidRDefault="00840D47" w:rsidP="007F4EAA">
      <w:pPr>
        <w:pStyle w:val="NormalWeb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Obrazloženje rashoda</w:t>
      </w:r>
    </w:p>
    <w:p w14:paraId="2BC2E487" w14:textId="77777777" w:rsidR="00840D47" w:rsidRPr="00DD5A68" w:rsidRDefault="00840D47" w:rsidP="007F4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BC3F52" w14:textId="77777777" w:rsidR="00E630A7" w:rsidRPr="00DD5A68" w:rsidRDefault="00E630A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5C9B6" w14:textId="1D924930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>Smanjenje prihoda prati i smanjenje rashoda, pa su ukupni rashodi za 2024. godinu u usporedbi s 2023. godinom umanjeni za 28,8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4D82D93" w14:textId="5B6CA4E1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 xml:space="preserve">Najveći iznos rashoda nalazi se na </w:t>
      </w:r>
      <w:r w:rsidR="00023252" w:rsidRPr="00DD5A68">
        <w:rPr>
          <w:rFonts w:ascii="Times New Roman" w:hAnsi="Times New Roman" w:cs="Times New Roman"/>
          <w:sz w:val="24"/>
          <w:szCs w:val="24"/>
        </w:rPr>
        <w:t>R</w:t>
      </w:r>
      <w:r w:rsidRPr="00DD5A68">
        <w:rPr>
          <w:rFonts w:ascii="Times New Roman" w:hAnsi="Times New Roman" w:cs="Times New Roman"/>
          <w:sz w:val="24"/>
          <w:szCs w:val="24"/>
        </w:rPr>
        <w:t>ashodima za zaposlene -</w:t>
      </w:r>
      <w:r w:rsidR="002C7C2D" w:rsidRP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skupina 31 i </w:t>
      </w:r>
      <w:r w:rsidR="00023252" w:rsidRPr="00DD5A68">
        <w:rPr>
          <w:rFonts w:ascii="Times New Roman" w:hAnsi="Times New Roman" w:cs="Times New Roman"/>
          <w:sz w:val="24"/>
          <w:szCs w:val="24"/>
        </w:rPr>
        <w:t>M</w:t>
      </w:r>
      <w:r w:rsidRPr="00DD5A68">
        <w:rPr>
          <w:rFonts w:ascii="Times New Roman" w:hAnsi="Times New Roman" w:cs="Times New Roman"/>
          <w:sz w:val="24"/>
          <w:szCs w:val="24"/>
        </w:rPr>
        <w:t>aterijalnim rashodima -</w:t>
      </w:r>
      <w:r w:rsidR="002C7C2D" w:rsidRP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>skupina 32. Ukupni rashodi za zaposlene povećali su se u odnosu na prošlu godinu za 34,6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% slijedom usklađenja koeficijenta radnih mjesta temeljem </w:t>
      </w:r>
      <w:r w:rsidRPr="00DD5A68">
        <w:rPr>
          <w:rFonts w:ascii="Times New Roman" w:hAnsi="Times New Roman" w:cs="Times New Roman"/>
          <w:i/>
          <w:iCs/>
          <w:sz w:val="24"/>
          <w:szCs w:val="24"/>
        </w:rPr>
        <w:t>Uredbe o nazivima radnih mjesta, uvjetima za raspored i koeficijentima za obračun plaće u javnim službama</w:t>
      </w:r>
      <w:r w:rsidRPr="00DD5A68">
        <w:rPr>
          <w:rFonts w:ascii="Times New Roman" w:hAnsi="Times New Roman" w:cs="Times New Roman"/>
          <w:sz w:val="24"/>
          <w:szCs w:val="24"/>
        </w:rPr>
        <w:t xml:space="preserve"> od 26. veljače 2024.</w:t>
      </w:r>
      <w:r w:rsidR="002C7C2D" w:rsidRP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>godine (</w:t>
      </w:r>
      <w:r w:rsidRPr="00DD5A68">
        <w:rPr>
          <w:rFonts w:ascii="Times New Roman" w:hAnsi="Times New Roman" w:cs="Times New Roman"/>
          <w:i/>
          <w:iCs/>
          <w:sz w:val="24"/>
          <w:szCs w:val="24"/>
        </w:rPr>
        <w:t>NN</w:t>
      </w:r>
      <w:r w:rsidR="00DD5A68">
        <w:rPr>
          <w:rFonts w:ascii="Times New Roman" w:hAnsi="Times New Roman" w:cs="Times New Roman"/>
          <w:sz w:val="24"/>
          <w:szCs w:val="24"/>
        </w:rPr>
        <w:t>,</w:t>
      </w:r>
      <w:r w:rsidRPr="00DD5A68">
        <w:rPr>
          <w:rFonts w:ascii="Times New Roman" w:hAnsi="Times New Roman" w:cs="Times New Roman"/>
          <w:sz w:val="24"/>
          <w:szCs w:val="24"/>
        </w:rPr>
        <w:t xml:space="preserve"> 22/24</w:t>
      </w:r>
      <w:r w:rsidR="00DD5A68">
        <w:rPr>
          <w:rFonts w:ascii="Times New Roman" w:hAnsi="Times New Roman" w:cs="Times New Roman"/>
          <w:sz w:val="24"/>
          <w:szCs w:val="24"/>
        </w:rPr>
        <w:t>.</w:t>
      </w:r>
      <w:r w:rsidRPr="00DD5A68">
        <w:rPr>
          <w:rFonts w:ascii="Times New Roman" w:hAnsi="Times New Roman" w:cs="Times New Roman"/>
          <w:sz w:val="24"/>
          <w:szCs w:val="24"/>
        </w:rPr>
        <w:t>).</w:t>
      </w:r>
    </w:p>
    <w:p w14:paraId="40BBDA33" w14:textId="77777777" w:rsidR="00E630A7" w:rsidRPr="00DD5A68" w:rsidRDefault="00E630A7" w:rsidP="007F4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4D309" w14:textId="77777777" w:rsidR="002C7C2D" w:rsidRPr="00DD5A68" w:rsidRDefault="002C7C2D" w:rsidP="007F4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F8371" w14:textId="77777777" w:rsidR="002C7C2D" w:rsidRPr="00DD5A68" w:rsidRDefault="002C7C2D" w:rsidP="007F4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92DF4" w14:textId="6F00AD26" w:rsidR="00840D47" w:rsidRPr="00DD5A68" w:rsidRDefault="00840D47" w:rsidP="007F4EA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lastRenderedPageBreak/>
        <w:t xml:space="preserve">Grafikon </w:t>
      </w:r>
      <w:r w:rsidR="00390BBE" w:rsidRPr="00DD5A68">
        <w:rPr>
          <w:rFonts w:ascii="Times New Roman" w:hAnsi="Times New Roman" w:cs="Times New Roman"/>
          <w:sz w:val="24"/>
          <w:szCs w:val="24"/>
        </w:rPr>
        <w:t>3</w:t>
      </w:r>
      <w:r w:rsidRPr="00DD5A68">
        <w:rPr>
          <w:rFonts w:ascii="Times New Roman" w:hAnsi="Times New Roman" w:cs="Times New Roman"/>
          <w:sz w:val="24"/>
          <w:szCs w:val="24"/>
        </w:rPr>
        <w:t xml:space="preserve">: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Omjer rashoda prema skupinama za 2024. i 2023. </w:t>
      </w:r>
      <w:r w:rsidR="00890343" w:rsidRPr="00DD5A6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odinu</w:t>
      </w:r>
      <w:r w:rsidR="005F0548"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u EUR</w:t>
      </w:r>
    </w:p>
    <w:p w14:paraId="41C915A0" w14:textId="77777777" w:rsidR="00A27931" w:rsidRPr="00DD5A68" w:rsidRDefault="00A27931" w:rsidP="007F4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4C367" w14:textId="77777777" w:rsidR="00840D47" w:rsidRPr="00DD5A68" w:rsidRDefault="00840D47" w:rsidP="007F4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drawing>
          <wp:inline distT="0" distB="0" distL="0" distR="0" wp14:anchorId="7F72C2A5" wp14:editId="4BD19287">
            <wp:extent cx="5924550" cy="4057650"/>
            <wp:effectExtent l="0" t="0" r="0" b="0"/>
            <wp:docPr id="3388489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7097D2E-20A4-C1BB-B348-24E58FFA13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E6069F" w14:textId="77777777" w:rsidR="00A27931" w:rsidRPr="00DD5A68" w:rsidRDefault="00A27931" w:rsidP="007F4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9377D" w14:textId="71FE4019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>Ukupni materijalni rashodi smanjeni su za 53,7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>%  u odnosu na prethodnu godinu. Naknade troškova zaposlenika povećane su u 2024. godini jer uključuju troškove edukacija, a organizirane su aktivnosti jačanja kapaciteta za djelatnike koji obavljaju poslove Posredničkog tijela druge razine (PT 2) za područje obrazovanja i cjeloživotnog učenja za ESF i ESF+, u dvije financijske perspektive. Ključna aktivnost podrazumijeva ulaganje u ljudske resurse shodno Planu jačanja kapaciteta za korištenje fondova Europske unije.</w:t>
      </w:r>
    </w:p>
    <w:p w14:paraId="4DA26D8F" w14:textId="5CDBB217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 xml:space="preserve">Većina rashoda za usluge manja je od prethodne godine kako su ESF projekti započeli s provedbom aktivnosti tek u drugom dijelu godine. </w:t>
      </w:r>
    </w:p>
    <w:p w14:paraId="6B51D4CC" w14:textId="45D73AD3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 xml:space="preserve">Rashodi su zbog potrebe knjiženja, računovodstvenog i knjigovodstvenog praćenja </w:t>
      </w:r>
      <w:r w:rsidR="002C7C2D" w:rsidRPr="00DD5A68">
        <w:rPr>
          <w:rFonts w:ascii="Times New Roman" w:hAnsi="Times New Roman" w:cs="Times New Roman"/>
          <w:sz w:val="24"/>
          <w:szCs w:val="24"/>
        </w:rPr>
        <w:t>raščlanjeni</w:t>
      </w:r>
      <w:r w:rsidRPr="00DD5A68">
        <w:rPr>
          <w:rFonts w:ascii="Times New Roman" w:hAnsi="Times New Roman" w:cs="Times New Roman"/>
          <w:sz w:val="24"/>
          <w:szCs w:val="24"/>
        </w:rPr>
        <w:t xml:space="preserve"> u više skupina prema kontnom planu, prikazano je takvo izvršenje financijskog plana za rashode. (grafikon </w:t>
      </w:r>
      <w:r w:rsidR="002F09DD" w:rsidRPr="00DD5A68">
        <w:rPr>
          <w:rFonts w:ascii="Times New Roman" w:hAnsi="Times New Roman" w:cs="Times New Roman"/>
          <w:sz w:val="24"/>
          <w:szCs w:val="24"/>
        </w:rPr>
        <w:t>4</w:t>
      </w:r>
      <w:r w:rsidRPr="00DD5A68">
        <w:rPr>
          <w:rFonts w:ascii="Times New Roman" w:hAnsi="Times New Roman" w:cs="Times New Roman"/>
          <w:sz w:val="24"/>
          <w:szCs w:val="24"/>
        </w:rPr>
        <w:t>).</w:t>
      </w:r>
    </w:p>
    <w:p w14:paraId="3D5D8BBF" w14:textId="74C2AA60" w:rsidR="00840D47" w:rsidRPr="00DD5A68" w:rsidRDefault="00840D47" w:rsidP="00152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 xml:space="preserve">Izvršenje skupine </w:t>
      </w:r>
      <w:r w:rsidR="0068637F" w:rsidRPr="00DD5A68">
        <w:rPr>
          <w:rFonts w:ascii="Times New Roman" w:hAnsi="Times New Roman" w:cs="Times New Roman"/>
          <w:sz w:val="24"/>
          <w:szCs w:val="24"/>
        </w:rPr>
        <w:t>-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31 </w:t>
      </w:r>
      <w:r w:rsidR="00B079C1" w:rsidRPr="00DD5A68">
        <w:rPr>
          <w:rFonts w:ascii="Times New Roman" w:hAnsi="Times New Roman" w:cs="Times New Roman"/>
          <w:sz w:val="24"/>
          <w:szCs w:val="24"/>
        </w:rPr>
        <w:t>R</w:t>
      </w:r>
      <w:r w:rsidRPr="00DD5A68">
        <w:rPr>
          <w:rFonts w:ascii="Times New Roman" w:hAnsi="Times New Roman" w:cs="Times New Roman"/>
          <w:sz w:val="24"/>
          <w:szCs w:val="24"/>
        </w:rPr>
        <w:t>ashoda za zaposlene iznosi 84,80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>%, skupine -</w:t>
      </w:r>
      <w:r w:rsidR="002C7C2D" w:rsidRP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32 rashoda za </w:t>
      </w:r>
      <w:r w:rsidR="00B079C1" w:rsidRPr="00DD5A68">
        <w:rPr>
          <w:rFonts w:ascii="Times New Roman" w:hAnsi="Times New Roman" w:cs="Times New Roman"/>
          <w:sz w:val="24"/>
          <w:szCs w:val="24"/>
        </w:rPr>
        <w:t>M</w:t>
      </w:r>
      <w:r w:rsidRPr="00DD5A68">
        <w:rPr>
          <w:rFonts w:ascii="Times New Roman" w:hAnsi="Times New Roman" w:cs="Times New Roman"/>
          <w:sz w:val="24"/>
          <w:szCs w:val="24"/>
        </w:rPr>
        <w:t>aterijalne rashode je 62,40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%, </w:t>
      </w:r>
      <w:r w:rsidR="00B079C1" w:rsidRPr="00DD5A68">
        <w:rPr>
          <w:rFonts w:ascii="Times New Roman" w:hAnsi="Times New Roman" w:cs="Times New Roman"/>
          <w:sz w:val="24"/>
          <w:szCs w:val="24"/>
        </w:rPr>
        <w:t>F</w:t>
      </w:r>
      <w:r w:rsidRPr="00DD5A68">
        <w:rPr>
          <w:rFonts w:ascii="Times New Roman" w:hAnsi="Times New Roman" w:cs="Times New Roman"/>
          <w:sz w:val="24"/>
          <w:szCs w:val="24"/>
        </w:rPr>
        <w:t>inancijski rashodi na skupini -34 izvršeni su 56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% (ukupan tekući plan za ove rashode iznosi 27 EUR za cjelokupnu godinu i koriste se za troškove bankarskih usluga potrebne za redovito poslovanje), </w:t>
      </w:r>
      <w:r w:rsidR="00BF799B" w:rsidRPr="00DD5A68">
        <w:rPr>
          <w:rFonts w:ascii="Times New Roman" w:hAnsi="Times New Roman" w:cs="Times New Roman"/>
          <w:sz w:val="24"/>
          <w:szCs w:val="24"/>
        </w:rPr>
        <w:t>P</w:t>
      </w:r>
      <w:r w:rsidRPr="00DD5A68">
        <w:rPr>
          <w:rFonts w:ascii="Times New Roman" w:hAnsi="Times New Roman" w:cs="Times New Roman"/>
          <w:sz w:val="24"/>
          <w:szCs w:val="24"/>
        </w:rPr>
        <w:t>omoći dane u inozemstvo i unutar općeg proračuna skupina</w:t>
      </w:r>
      <w:r w:rsidR="002C7C2D" w:rsidRP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>-</w:t>
      </w:r>
      <w:r w:rsidR="002C7C2D" w:rsidRP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36 iznosi </w:t>
      </w:r>
      <w:r w:rsidRPr="00DD5A68">
        <w:rPr>
          <w:rFonts w:ascii="Times New Roman" w:hAnsi="Times New Roman" w:cs="Times New Roman"/>
          <w:sz w:val="24"/>
          <w:szCs w:val="24"/>
        </w:rPr>
        <w:lastRenderedPageBreak/>
        <w:t>87,71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 xml:space="preserve">% i </w:t>
      </w:r>
      <w:r w:rsidR="00BF799B" w:rsidRPr="00DD5A68">
        <w:rPr>
          <w:rFonts w:ascii="Times New Roman" w:hAnsi="Times New Roman" w:cs="Times New Roman"/>
          <w:sz w:val="24"/>
          <w:szCs w:val="24"/>
        </w:rPr>
        <w:t>R</w:t>
      </w:r>
      <w:r w:rsidRPr="00DD5A68">
        <w:rPr>
          <w:rFonts w:ascii="Times New Roman" w:hAnsi="Times New Roman" w:cs="Times New Roman"/>
          <w:sz w:val="24"/>
          <w:szCs w:val="24"/>
        </w:rPr>
        <w:t>ashodi za nabavu proizvedene dugotrajne imovine, skupina 42 izvršena je 78,03</w:t>
      </w:r>
      <w:r w:rsidR="00DD5A68">
        <w:rPr>
          <w:rFonts w:ascii="Times New Roman" w:hAnsi="Times New Roman" w:cs="Times New Roman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sz w:val="24"/>
          <w:szCs w:val="24"/>
        </w:rPr>
        <w:t>% u odnosu na financijski plan.</w:t>
      </w:r>
    </w:p>
    <w:p w14:paraId="48C6FF1E" w14:textId="6B0F0D53" w:rsidR="00840D47" w:rsidRPr="00DD5A68" w:rsidRDefault="00840D47" w:rsidP="007F4EAA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Postotak između ostvarenja /izvršenja i tekućeg plana za ukupne rashode je 72,88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14:paraId="2CBCFAC3" w14:textId="77777777" w:rsidR="00A27931" w:rsidRPr="00DD5A68" w:rsidRDefault="00A27931" w:rsidP="006038EB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86B99" w14:textId="2C867D6A" w:rsidR="00840D47" w:rsidRPr="00DD5A68" w:rsidRDefault="00840D47" w:rsidP="007F4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sz w:val="24"/>
          <w:szCs w:val="24"/>
        </w:rPr>
        <w:t>Grafikon 4: Prikaz izvršenja financijskog plana po skupinama rashoda</w:t>
      </w:r>
      <w:r w:rsidR="0044467D" w:rsidRPr="00DD5A68">
        <w:rPr>
          <w:rFonts w:ascii="Times New Roman" w:hAnsi="Times New Roman" w:cs="Times New Roman"/>
          <w:sz w:val="24"/>
          <w:szCs w:val="24"/>
        </w:rPr>
        <w:t xml:space="preserve"> za 2024. godinu</w:t>
      </w:r>
      <w:r w:rsidRPr="00DD5A68">
        <w:rPr>
          <w:rFonts w:ascii="Times New Roman" w:hAnsi="Times New Roman" w:cs="Times New Roman"/>
          <w:sz w:val="24"/>
          <w:szCs w:val="24"/>
        </w:rPr>
        <w:t xml:space="preserve"> u EUR</w:t>
      </w:r>
    </w:p>
    <w:p w14:paraId="4F77BA9C" w14:textId="77777777" w:rsidR="00A27931" w:rsidRPr="00DD5A68" w:rsidRDefault="00A27931" w:rsidP="007F4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EAC04" w14:textId="4E55960D" w:rsidR="004D2B8F" w:rsidRPr="00DD5A68" w:rsidRDefault="00840D47" w:rsidP="007F4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A68">
        <w:drawing>
          <wp:inline distT="0" distB="0" distL="0" distR="0" wp14:anchorId="1969A49C" wp14:editId="2BFEC3BF">
            <wp:extent cx="6191250" cy="4400550"/>
            <wp:effectExtent l="0" t="0" r="0" b="0"/>
            <wp:docPr id="13405810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5B47D6E-A38B-76EE-8625-8EC1DFDF60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F0AA40" w14:textId="77777777" w:rsidR="004D2B8F" w:rsidRPr="00DD5A68" w:rsidRDefault="004D2B8F" w:rsidP="004D2B8F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U godišnjem izvještaju o izvršenju financijskog plana rashodi su prikazani u tablici – I Opći dio -Račun prihoda i rashoda – Izvještaj o rashodima prema ekonomskoj klasifikaciji.</w:t>
      </w:r>
    </w:p>
    <w:p w14:paraId="64B1DA2D" w14:textId="77777777" w:rsidR="00A27931" w:rsidRPr="00DD5A68" w:rsidRDefault="00A27931" w:rsidP="007F4EAA">
      <w:pPr>
        <w:pStyle w:val="NormalWeb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AB228B5" w14:textId="77777777" w:rsidR="00D00A24" w:rsidRPr="00DD5A68" w:rsidRDefault="00D00A24" w:rsidP="007F4EAA">
      <w:pPr>
        <w:pStyle w:val="NormalWeb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035660B" w14:textId="27F4F044" w:rsidR="00840D47" w:rsidRPr="00DD5A68" w:rsidRDefault="00840D47" w:rsidP="007F4EAA">
      <w:pPr>
        <w:pStyle w:val="NormalWeb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Prijenos sredstava iz prethodne godine i prijenos sredstava u sljedeću godinu</w:t>
      </w:r>
    </w:p>
    <w:p w14:paraId="6A9AEAD0" w14:textId="77777777" w:rsidR="00A27931" w:rsidRPr="00DD5A68" w:rsidRDefault="00A27931" w:rsidP="007F4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46DF43" w14:textId="055ADCA9" w:rsidR="00840D47" w:rsidRPr="00DD5A68" w:rsidRDefault="00840D47" w:rsidP="001524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A68">
        <w:rPr>
          <w:rFonts w:ascii="Times New Roman" w:hAnsi="Times New Roman" w:cs="Times New Roman"/>
          <w:b/>
          <w:bCs/>
          <w:sz w:val="24"/>
          <w:szCs w:val="24"/>
        </w:rPr>
        <w:t>Prijenos sredstava iz prethodne godine</w:t>
      </w:r>
    </w:p>
    <w:p w14:paraId="67EFCE4D" w14:textId="77777777" w:rsidR="00840D47" w:rsidRPr="00DD5A68" w:rsidRDefault="00840D47" w:rsidP="0015246C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Prijenos sredstava iz 2023. godine u 2024. godinu iznosi 422.540,76 EUR, </w:t>
      </w:r>
      <w:r w:rsidRPr="00DD5A68">
        <w:rPr>
          <w:rFonts w:ascii="Times New Roman" w:hAnsi="Times New Roman" w:cs="Times New Roman"/>
          <w:sz w:val="24"/>
          <w:szCs w:val="24"/>
        </w:rPr>
        <w:t>a odnosi se na projekte financirane iz Europske unije iz izvora 51 – pomoći EU, a uključuju sljedeće projekte:</w:t>
      </w:r>
    </w:p>
    <w:p w14:paraId="75CA4C51" w14:textId="77777777" w:rsidR="00840D47" w:rsidRPr="00DD5A68" w:rsidRDefault="00840D47" w:rsidP="007F4EAA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EB24A" w14:textId="77777777" w:rsidR="00840D47" w:rsidRPr="00DD5A68" w:rsidRDefault="00840D47" w:rsidP="00840D4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>REFERNET u Republici Hrvatskoj</w:t>
      </w:r>
    </w:p>
    <w:p w14:paraId="366AAC42" w14:textId="3B7F0B16" w:rsidR="00840D47" w:rsidRPr="00DD5A68" w:rsidRDefault="00840D47" w:rsidP="00840D4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lastRenderedPageBreak/>
        <w:t>EQAVET NRP -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nacionalna referentna točka za EU sustav osiguranja kvalitete u strukovnom obrazovanju i osposobljavanju</w:t>
      </w:r>
    </w:p>
    <w:p w14:paraId="355F1EB1" w14:textId="77777777" w:rsidR="00840D47" w:rsidRPr="00DD5A68" w:rsidRDefault="00840D47" w:rsidP="00840D4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EPALE V nacionalna služba za podršku za Republiku Hrvatsku </w:t>
      </w:r>
    </w:p>
    <w:p w14:paraId="1D29476B" w14:textId="08FCF85F" w:rsidR="00840D47" w:rsidRPr="00DD5A68" w:rsidRDefault="00840D47" w:rsidP="00840D4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KA2-VET@HOME - Erasmus plus projekti - 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ilotiranje virtualnog praktičnog tečaja za kuharstvo u strukovnom obrazovanju</w:t>
      </w:r>
    </w:p>
    <w:p w14:paraId="53A5828D" w14:textId="4B211E1E" w:rsidR="00840D47" w:rsidRPr="00DD5A68" w:rsidRDefault="00840D47" w:rsidP="00840D4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KA2-2BDIGITAL – Erasmus plus projekti - </w:t>
      </w:r>
      <w:r w:rsidR="00DD5A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>nkluzivno digitalno učenje u svrhu sprečavanja napuštanja školovanja u strukovnom obrazovanju i osposobljavanju</w:t>
      </w:r>
    </w:p>
    <w:p w14:paraId="5E850DC0" w14:textId="78D4213D" w:rsidR="00840D47" w:rsidRPr="00DD5A68" w:rsidRDefault="00840D47" w:rsidP="00840D4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Partner UP  - </w:t>
      </w:r>
      <w:r w:rsidRPr="00DD5A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Partnerships and stakeholder engagement for Upskilling Pathways</w:t>
      </w: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 Erasmus + projekt </w:t>
      </w:r>
    </w:p>
    <w:p w14:paraId="076C004B" w14:textId="77777777" w:rsidR="0015246C" w:rsidRPr="00DD5A68" w:rsidRDefault="0015246C" w:rsidP="00152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D5B5D" w14:textId="131A1429" w:rsidR="00840D47" w:rsidRPr="00DD5A68" w:rsidRDefault="00840D47" w:rsidP="00152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A68">
        <w:rPr>
          <w:rFonts w:ascii="Times New Roman" w:hAnsi="Times New Roman" w:cs="Times New Roman"/>
          <w:b/>
          <w:bCs/>
          <w:sz w:val="24"/>
          <w:szCs w:val="24"/>
        </w:rPr>
        <w:t>Prijenos sredstava u sljedeću godinu</w:t>
      </w:r>
    </w:p>
    <w:p w14:paraId="0A13FF8D" w14:textId="77777777" w:rsidR="0015246C" w:rsidRPr="00DD5A68" w:rsidRDefault="0015246C" w:rsidP="00152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6C5BE" w14:textId="77777777" w:rsidR="00840D47" w:rsidRPr="00DD5A68" w:rsidRDefault="00840D47" w:rsidP="002C7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A68">
        <w:rPr>
          <w:rFonts w:ascii="Times New Roman" w:hAnsi="Times New Roman" w:cs="Times New Roman"/>
          <w:color w:val="000000"/>
          <w:sz w:val="24"/>
          <w:szCs w:val="24"/>
        </w:rPr>
        <w:t xml:space="preserve">Prijenos sredstava iz 2024. godine u 2025. godinu iznosi </w:t>
      </w:r>
      <w:r w:rsidRPr="00DD5A68">
        <w:rPr>
          <w:rFonts w:ascii="Times New Roman" w:hAnsi="Times New Roman" w:cs="Times New Roman"/>
          <w:sz w:val="24"/>
          <w:szCs w:val="24"/>
        </w:rPr>
        <w:t>527.619,37 EUR, a odnosi se na projekte financirane iz Europske unije iz izvora 51 – pomoći EU, a uključuju sljedeće projekte: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840D47" w:rsidRPr="00DD5A68" w14:paraId="4D02860D" w14:textId="77777777" w:rsidTr="006628BB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CE463" w14:textId="77777777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ADMINISTRACIJA I UPRAVLJANJE ASOO</w:t>
            </w:r>
          </w:p>
        </w:tc>
      </w:tr>
      <w:tr w:rsidR="00840D47" w:rsidRPr="00DD5A68" w14:paraId="710F8855" w14:textId="77777777" w:rsidTr="006628BB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</w:tcPr>
          <w:p w14:paraId="74DD83A0" w14:textId="77777777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REFERNET </w:t>
            </w:r>
            <w:r w:rsidRPr="00DD5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Republici Hrvatskoj</w:t>
            </w:r>
          </w:p>
        </w:tc>
      </w:tr>
      <w:tr w:rsidR="00840D47" w:rsidRPr="00DD5A68" w14:paraId="7A05E8E4" w14:textId="77777777" w:rsidTr="006628BB">
        <w:trPr>
          <w:trHeight w:val="56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E24C7" w14:textId="77777777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PLASS-COMP - </w:t>
            </w:r>
            <w:r w:rsidRPr="00DD5A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Platform for Strangthening Skills Competitions</w:t>
            </w:r>
          </w:p>
        </w:tc>
      </w:tr>
      <w:tr w:rsidR="00840D47" w:rsidRPr="00DD5A68" w14:paraId="1ADE4455" w14:textId="77777777" w:rsidTr="006628BB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5F29C71" w14:textId="77777777" w:rsidR="00840D47" w:rsidRPr="00DD5A68" w:rsidRDefault="00840D47" w:rsidP="006628BB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EQAVET NRP 01.09.2023. – 31.08.2026. - </w:t>
            </w:r>
            <w:r w:rsidRPr="00DD5A68">
              <w:rPr>
                <w:rFonts w:ascii="Times New Roman" w:hAnsi="Times New Roman" w:cs="Times New Roman"/>
                <w:sz w:val="24"/>
                <w:szCs w:val="24"/>
              </w:rPr>
              <w:t xml:space="preserve">nacionalna referentna točka za EU sustav osiguravanja kvalitete u strukovnom obrazovanju i osposobljavanju </w:t>
            </w:r>
          </w:p>
          <w:p w14:paraId="3C336609" w14:textId="000634B6" w:rsidR="002C7C2D" w:rsidRPr="00DD5A68" w:rsidRDefault="002C7C2D" w:rsidP="002C7C2D">
            <w:pPr>
              <w:pStyle w:val="ListParagraph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47" w:rsidRPr="00DD5A68" w14:paraId="0747D9DF" w14:textId="77777777" w:rsidTr="006628BB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2A1F2129" w14:textId="20667463" w:rsidR="00840D47" w:rsidRPr="00DD5A68" w:rsidRDefault="00840D47" w:rsidP="002C7C2D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PARTNER – UP  </w:t>
            </w:r>
            <w:r w:rsidRPr="00DD5A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Partnership and stakeholder engagement for upskilling pathways Pathways</w:t>
            </w:r>
            <w:r w:rsidRPr="00DD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D47" w:rsidRPr="00DD5A68" w14:paraId="7B2408E6" w14:textId="77777777" w:rsidTr="006628BB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6A7DE76C" w14:textId="58C606A3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ERASMUS PLUS-KA2-T4SVEN - </w:t>
            </w:r>
            <w:r w:rsid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rening za vještine u virtualnom okruženju</w:t>
            </w:r>
          </w:p>
        </w:tc>
      </w:tr>
      <w:tr w:rsidR="00840D47" w:rsidRPr="00DD5A68" w14:paraId="49E53465" w14:textId="77777777" w:rsidTr="006628BB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30766A9F" w14:textId="62009541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ERASMUS PLUS-KA2-VET@HOME - </w:t>
            </w:r>
            <w:r w:rsid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ilotiranje virtualnog praktičnog tečaja za kuharstvo u strukovnom obrazovanju</w:t>
            </w:r>
          </w:p>
        </w:tc>
      </w:tr>
      <w:tr w:rsidR="00840D47" w:rsidRPr="00DD5A68" w14:paraId="266C17CB" w14:textId="77777777" w:rsidTr="006628BB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7917F056" w14:textId="77777777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EPALE V NACIONALNA SLUŽBA ZA PODRŠKU ZA RH 2022.-2024.</w:t>
            </w:r>
          </w:p>
        </w:tc>
      </w:tr>
      <w:tr w:rsidR="00840D47" w:rsidRPr="00DD5A68" w14:paraId="030FD8EA" w14:textId="77777777" w:rsidTr="006628BB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BD986AA" w14:textId="77777777" w:rsidR="00840D47" w:rsidRPr="00DD5A68" w:rsidRDefault="00840D47" w:rsidP="00840D47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D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EPALE VI NACIONALNA SLUŽBA ZA PODRŠKU ZA RH 2025.-2026.</w:t>
            </w:r>
          </w:p>
        </w:tc>
      </w:tr>
    </w:tbl>
    <w:p w14:paraId="1201427B" w14:textId="77777777" w:rsidR="00840D47" w:rsidRPr="00DD5A68" w:rsidRDefault="00840D47" w:rsidP="00840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F181D" w14:textId="3C3F7201" w:rsidR="00CF2F1C" w:rsidRPr="00DD5A68" w:rsidRDefault="00CF2F1C" w:rsidP="007F278C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F2F1C" w:rsidRPr="00DD5A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1162" w14:textId="77777777" w:rsidR="00E1644E" w:rsidRDefault="00E1644E" w:rsidP="009160BB">
      <w:pPr>
        <w:spacing w:after="0" w:line="240" w:lineRule="auto"/>
      </w:pPr>
      <w:r>
        <w:separator/>
      </w:r>
    </w:p>
  </w:endnote>
  <w:endnote w:type="continuationSeparator" w:id="0">
    <w:p w14:paraId="04461DD6" w14:textId="77777777" w:rsidR="00E1644E" w:rsidRDefault="00E1644E" w:rsidP="0091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Pro Light"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3195" w14:textId="77777777" w:rsidR="009160BB" w:rsidRDefault="00916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D2FA" w14:textId="4EE83F98" w:rsidR="009160BB" w:rsidRPr="00E739FE" w:rsidRDefault="009160BB" w:rsidP="009160BB">
    <w:pPr>
      <w:pStyle w:val="Footer"/>
      <w:pBdr>
        <w:top w:val="single" w:sz="4" w:space="1" w:color="auto"/>
      </w:pBdr>
      <w:rPr>
        <w:sz w:val="18"/>
        <w:szCs w:val="18"/>
      </w:rPr>
    </w:pPr>
    <w:bookmarkStart w:id="0" w:name="OLE_LINK1"/>
    <w:bookmarkStart w:id="1" w:name="OLE_LINK2"/>
    <w:bookmarkStart w:id="2" w:name="_Hlk281824927"/>
    <w:r>
      <w:rPr>
        <w:sz w:val="18"/>
        <w:szCs w:val="18"/>
      </w:rPr>
      <w:t>Garićgradska ulica 18</w:t>
    </w:r>
    <w:r w:rsidRPr="00E739FE">
      <w:rPr>
        <w:sz w:val="18"/>
        <w:szCs w:val="18"/>
      </w:rPr>
      <w:t>, 10 000 Zagreb, RH, T + 385 1 62 74 666, F + 385 1 62 74 606, ured@asoo.hr, URL www.asoo.hr, MATIČNI BROJ 02650029, OIB 40719411729</w:t>
    </w:r>
  </w:p>
  <w:bookmarkEnd w:id="0"/>
  <w:bookmarkEnd w:id="1"/>
  <w:bookmarkEnd w:id="2"/>
  <w:p w14:paraId="04E4933F" w14:textId="0A9D4838" w:rsidR="009160BB" w:rsidRPr="00E739FE" w:rsidRDefault="009160BB" w:rsidP="009160BB">
    <w:pPr>
      <w:pStyle w:val="Footer"/>
      <w:pBdr>
        <w:top w:val="single" w:sz="4" w:space="1" w:color="auto"/>
      </w:pBdr>
      <w:rPr>
        <w:sz w:val="18"/>
        <w:szCs w:val="18"/>
      </w:rPr>
    </w:pPr>
  </w:p>
  <w:p w14:paraId="11F7F507" w14:textId="77777777" w:rsidR="009160BB" w:rsidRDefault="00916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4B18" w14:textId="77777777" w:rsidR="009160BB" w:rsidRDefault="0091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2BF2" w14:textId="77777777" w:rsidR="00E1644E" w:rsidRDefault="00E1644E" w:rsidP="009160BB">
      <w:pPr>
        <w:spacing w:after="0" w:line="240" w:lineRule="auto"/>
      </w:pPr>
      <w:r>
        <w:separator/>
      </w:r>
    </w:p>
  </w:footnote>
  <w:footnote w:type="continuationSeparator" w:id="0">
    <w:p w14:paraId="1D8076A6" w14:textId="77777777" w:rsidR="00E1644E" w:rsidRDefault="00E1644E" w:rsidP="0091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AE59" w14:textId="77777777" w:rsidR="009160BB" w:rsidRDefault="00916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E2A7" w14:textId="77777777" w:rsidR="009160BB" w:rsidRDefault="00916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42B8" w14:textId="77777777" w:rsidR="009160BB" w:rsidRDefault="0091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329C"/>
    <w:multiLevelType w:val="hybridMultilevel"/>
    <w:tmpl w:val="C0A62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62392"/>
    <w:multiLevelType w:val="hybridMultilevel"/>
    <w:tmpl w:val="C45C7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517346">
    <w:abstractNumId w:val="0"/>
  </w:num>
  <w:num w:numId="2" w16cid:durableId="89438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0C"/>
    <w:rsid w:val="00000502"/>
    <w:rsid w:val="00013E63"/>
    <w:rsid w:val="0001413B"/>
    <w:rsid w:val="00022B0C"/>
    <w:rsid w:val="00023252"/>
    <w:rsid w:val="00044511"/>
    <w:rsid w:val="00044A2B"/>
    <w:rsid w:val="0005081F"/>
    <w:rsid w:val="00070091"/>
    <w:rsid w:val="000917BF"/>
    <w:rsid w:val="00094C6F"/>
    <w:rsid w:val="000A5C5E"/>
    <w:rsid w:val="000D7393"/>
    <w:rsid w:val="000E3BF4"/>
    <w:rsid w:val="000E5D68"/>
    <w:rsid w:val="000F4078"/>
    <w:rsid w:val="0012227C"/>
    <w:rsid w:val="00122CC3"/>
    <w:rsid w:val="00124BFE"/>
    <w:rsid w:val="00125F06"/>
    <w:rsid w:val="00126203"/>
    <w:rsid w:val="00132CA5"/>
    <w:rsid w:val="00136E11"/>
    <w:rsid w:val="00142328"/>
    <w:rsid w:val="0015246C"/>
    <w:rsid w:val="00156565"/>
    <w:rsid w:val="0015789D"/>
    <w:rsid w:val="0019248D"/>
    <w:rsid w:val="00193B99"/>
    <w:rsid w:val="001A204C"/>
    <w:rsid w:val="001A3F02"/>
    <w:rsid w:val="001A5526"/>
    <w:rsid w:val="001B3DDB"/>
    <w:rsid w:val="001C54C2"/>
    <w:rsid w:val="001D1990"/>
    <w:rsid w:val="001D2039"/>
    <w:rsid w:val="001E133E"/>
    <w:rsid w:val="001F1554"/>
    <w:rsid w:val="00227683"/>
    <w:rsid w:val="00227D1F"/>
    <w:rsid w:val="00253E00"/>
    <w:rsid w:val="002600F3"/>
    <w:rsid w:val="00280801"/>
    <w:rsid w:val="00283B1A"/>
    <w:rsid w:val="00294DDA"/>
    <w:rsid w:val="00297642"/>
    <w:rsid w:val="002A2295"/>
    <w:rsid w:val="002A4BA2"/>
    <w:rsid w:val="002C7C2D"/>
    <w:rsid w:val="002E0D3A"/>
    <w:rsid w:val="002F09DD"/>
    <w:rsid w:val="002F4442"/>
    <w:rsid w:val="002F5BAE"/>
    <w:rsid w:val="0030718E"/>
    <w:rsid w:val="0031033D"/>
    <w:rsid w:val="00312F6A"/>
    <w:rsid w:val="003165A1"/>
    <w:rsid w:val="00320D07"/>
    <w:rsid w:val="0034365E"/>
    <w:rsid w:val="003508DD"/>
    <w:rsid w:val="00355062"/>
    <w:rsid w:val="00363799"/>
    <w:rsid w:val="00365B41"/>
    <w:rsid w:val="00386D94"/>
    <w:rsid w:val="00390BBE"/>
    <w:rsid w:val="00394071"/>
    <w:rsid w:val="00397AF9"/>
    <w:rsid w:val="003A1369"/>
    <w:rsid w:val="003A7B26"/>
    <w:rsid w:val="003B2FF7"/>
    <w:rsid w:val="003C13FC"/>
    <w:rsid w:val="003C1E5D"/>
    <w:rsid w:val="003C234A"/>
    <w:rsid w:val="003D465F"/>
    <w:rsid w:val="003E2819"/>
    <w:rsid w:val="003F5BB5"/>
    <w:rsid w:val="0040362A"/>
    <w:rsid w:val="0040476F"/>
    <w:rsid w:val="00405835"/>
    <w:rsid w:val="004213E0"/>
    <w:rsid w:val="0042786F"/>
    <w:rsid w:val="00440725"/>
    <w:rsid w:val="0044467D"/>
    <w:rsid w:val="00456176"/>
    <w:rsid w:val="0046043E"/>
    <w:rsid w:val="0046108F"/>
    <w:rsid w:val="00467978"/>
    <w:rsid w:val="00470D4A"/>
    <w:rsid w:val="00493E4A"/>
    <w:rsid w:val="004B2FE2"/>
    <w:rsid w:val="004C34A9"/>
    <w:rsid w:val="004C6B97"/>
    <w:rsid w:val="004D2B8F"/>
    <w:rsid w:val="004D5647"/>
    <w:rsid w:val="004F0BFD"/>
    <w:rsid w:val="0050362E"/>
    <w:rsid w:val="005134FA"/>
    <w:rsid w:val="005135B2"/>
    <w:rsid w:val="005305DB"/>
    <w:rsid w:val="00530C2E"/>
    <w:rsid w:val="005374B2"/>
    <w:rsid w:val="0055383E"/>
    <w:rsid w:val="0055511E"/>
    <w:rsid w:val="00562671"/>
    <w:rsid w:val="00567C53"/>
    <w:rsid w:val="005730FC"/>
    <w:rsid w:val="0058107C"/>
    <w:rsid w:val="00584812"/>
    <w:rsid w:val="00592DB1"/>
    <w:rsid w:val="005B29F2"/>
    <w:rsid w:val="005B3D38"/>
    <w:rsid w:val="005B7105"/>
    <w:rsid w:val="005C08A7"/>
    <w:rsid w:val="005C2630"/>
    <w:rsid w:val="005D350D"/>
    <w:rsid w:val="005F0548"/>
    <w:rsid w:val="005F1488"/>
    <w:rsid w:val="005F153C"/>
    <w:rsid w:val="006038EB"/>
    <w:rsid w:val="0061453D"/>
    <w:rsid w:val="0062342D"/>
    <w:rsid w:val="006319B0"/>
    <w:rsid w:val="00647FF9"/>
    <w:rsid w:val="00650E2B"/>
    <w:rsid w:val="006518D2"/>
    <w:rsid w:val="0066145A"/>
    <w:rsid w:val="00661C9F"/>
    <w:rsid w:val="00684B71"/>
    <w:rsid w:val="0068637F"/>
    <w:rsid w:val="006934B9"/>
    <w:rsid w:val="006A7573"/>
    <w:rsid w:val="006B352D"/>
    <w:rsid w:val="006B76F2"/>
    <w:rsid w:val="00701EE5"/>
    <w:rsid w:val="007031C6"/>
    <w:rsid w:val="00715708"/>
    <w:rsid w:val="00722B4B"/>
    <w:rsid w:val="00731FA0"/>
    <w:rsid w:val="00736154"/>
    <w:rsid w:val="00737E07"/>
    <w:rsid w:val="007446D5"/>
    <w:rsid w:val="00746151"/>
    <w:rsid w:val="0075526C"/>
    <w:rsid w:val="00762E62"/>
    <w:rsid w:val="00764523"/>
    <w:rsid w:val="00764A8B"/>
    <w:rsid w:val="00777B8B"/>
    <w:rsid w:val="00795044"/>
    <w:rsid w:val="00796E79"/>
    <w:rsid w:val="007A0E98"/>
    <w:rsid w:val="007A7E3B"/>
    <w:rsid w:val="007B12F6"/>
    <w:rsid w:val="007B4E5B"/>
    <w:rsid w:val="007C36AB"/>
    <w:rsid w:val="007C6502"/>
    <w:rsid w:val="007E0E9A"/>
    <w:rsid w:val="007F278C"/>
    <w:rsid w:val="007F4EAA"/>
    <w:rsid w:val="0080632C"/>
    <w:rsid w:val="00813559"/>
    <w:rsid w:val="00817711"/>
    <w:rsid w:val="0082353C"/>
    <w:rsid w:val="00833EC0"/>
    <w:rsid w:val="00835235"/>
    <w:rsid w:val="00840D47"/>
    <w:rsid w:val="00845B67"/>
    <w:rsid w:val="00854545"/>
    <w:rsid w:val="00871030"/>
    <w:rsid w:val="00880D7D"/>
    <w:rsid w:val="00890343"/>
    <w:rsid w:val="008A5891"/>
    <w:rsid w:val="008A628B"/>
    <w:rsid w:val="008A67D3"/>
    <w:rsid w:val="008B57D9"/>
    <w:rsid w:val="008B75D7"/>
    <w:rsid w:val="008C0CAE"/>
    <w:rsid w:val="008D477B"/>
    <w:rsid w:val="008D7768"/>
    <w:rsid w:val="008D7DB9"/>
    <w:rsid w:val="008F6727"/>
    <w:rsid w:val="0090081C"/>
    <w:rsid w:val="0090134E"/>
    <w:rsid w:val="009160BB"/>
    <w:rsid w:val="00917839"/>
    <w:rsid w:val="00924A2F"/>
    <w:rsid w:val="00935405"/>
    <w:rsid w:val="00946E01"/>
    <w:rsid w:val="0096251C"/>
    <w:rsid w:val="00962612"/>
    <w:rsid w:val="00962E62"/>
    <w:rsid w:val="00981944"/>
    <w:rsid w:val="00985DD3"/>
    <w:rsid w:val="009A32C1"/>
    <w:rsid w:val="009B3208"/>
    <w:rsid w:val="009E44F8"/>
    <w:rsid w:val="009E5E4E"/>
    <w:rsid w:val="009F348D"/>
    <w:rsid w:val="00A0747C"/>
    <w:rsid w:val="00A07FE8"/>
    <w:rsid w:val="00A2224A"/>
    <w:rsid w:val="00A25070"/>
    <w:rsid w:val="00A27931"/>
    <w:rsid w:val="00A43E79"/>
    <w:rsid w:val="00A457BE"/>
    <w:rsid w:val="00A47023"/>
    <w:rsid w:val="00A55A55"/>
    <w:rsid w:val="00A646B2"/>
    <w:rsid w:val="00A82FF0"/>
    <w:rsid w:val="00A84F9C"/>
    <w:rsid w:val="00A86E87"/>
    <w:rsid w:val="00A92968"/>
    <w:rsid w:val="00A94771"/>
    <w:rsid w:val="00A97C75"/>
    <w:rsid w:val="00AB6ECF"/>
    <w:rsid w:val="00AC3646"/>
    <w:rsid w:val="00AC53D5"/>
    <w:rsid w:val="00AC75A2"/>
    <w:rsid w:val="00B079C1"/>
    <w:rsid w:val="00B1230D"/>
    <w:rsid w:val="00B13F09"/>
    <w:rsid w:val="00B51020"/>
    <w:rsid w:val="00B51CBB"/>
    <w:rsid w:val="00B56377"/>
    <w:rsid w:val="00B6416D"/>
    <w:rsid w:val="00B82F47"/>
    <w:rsid w:val="00BC5071"/>
    <w:rsid w:val="00BD19B7"/>
    <w:rsid w:val="00BD3A02"/>
    <w:rsid w:val="00BE7B9D"/>
    <w:rsid w:val="00BF1507"/>
    <w:rsid w:val="00BF67CB"/>
    <w:rsid w:val="00BF743F"/>
    <w:rsid w:val="00BF799B"/>
    <w:rsid w:val="00C059AC"/>
    <w:rsid w:val="00C25277"/>
    <w:rsid w:val="00C376C7"/>
    <w:rsid w:val="00C509D3"/>
    <w:rsid w:val="00C52337"/>
    <w:rsid w:val="00C52596"/>
    <w:rsid w:val="00C641DA"/>
    <w:rsid w:val="00C64837"/>
    <w:rsid w:val="00C823C7"/>
    <w:rsid w:val="00C841D6"/>
    <w:rsid w:val="00C9062E"/>
    <w:rsid w:val="00C94209"/>
    <w:rsid w:val="00CB1891"/>
    <w:rsid w:val="00CC1F43"/>
    <w:rsid w:val="00CD3FB2"/>
    <w:rsid w:val="00CF2F1C"/>
    <w:rsid w:val="00CF451B"/>
    <w:rsid w:val="00CF456A"/>
    <w:rsid w:val="00CF578B"/>
    <w:rsid w:val="00CF68DE"/>
    <w:rsid w:val="00CF7CB3"/>
    <w:rsid w:val="00D00A24"/>
    <w:rsid w:val="00D05568"/>
    <w:rsid w:val="00D07561"/>
    <w:rsid w:val="00D07732"/>
    <w:rsid w:val="00D10260"/>
    <w:rsid w:val="00D1434D"/>
    <w:rsid w:val="00D20827"/>
    <w:rsid w:val="00D224F0"/>
    <w:rsid w:val="00D31587"/>
    <w:rsid w:val="00D543DE"/>
    <w:rsid w:val="00D62D2E"/>
    <w:rsid w:val="00D67F73"/>
    <w:rsid w:val="00D75833"/>
    <w:rsid w:val="00D870E9"/>
    <w:rsid w:val="00D93477"/>
    <w:rsid w:val="00D97C36"/>
    <w:rsid w:val="00DA5D70"/>
    <w:rsid w:val="00DA782F"/>
    <w:rsid w:val="00DD113A"/>
    <w:rsid w:val="00DD5A68"/>
    <w:rsid w:val="00DE6BCA"/>
    <w:rsid w:val="00E0314C"/>
    <w:rsid w:val="00E1452D"/>
    <w:rsid w:val="00E1644E"/>
    <w:rsid w:val="00E35BC7"/>
    <w:rsid w:val="00E360B5"/>
    <w:rsid w:val="00E41CC3"/>
    <w:rsid w:val="00E51BFF"/>
    <w:rsid w:val="00E54B43"/>
    <w:rsid w:val="00E577ED"/>
    <w:rsid w:val="00E630A7"/>
    <w:rsid w:val="00E80E5C"/>
    <w:rsid w:val="00EB31A8"/>
    <w:rsid w:val="00EB6CBB"/>
    <w:rsid w:val="00EC591A"/>
    <w:rsid w:val="00ED74F8"/>
    <w:rsid w:val="00EF01B6"/>
    <w:rsid w:val="00EF70CE"/>
    <w:rsid w:val="00F3443C"/>
    <w:rsid w:val="00F414F5"/>
    <w:rsid w:val="00F42061"/>
    <w:rsid w:val="00F46B15"/>
    <w:rsid w:val="00F54D7E"/>
    <w:rsid w:val="00F56836"/>
    <w:rsid w:val="00F629E7"/>
    <w:rsid w:val="00FA2DD5"/>
    <w:rsid w:val="00FB12E6"/>
    <w:rsid w:val="00FC74D7"/>
    <w:rsid w:val="00FC794D"/>
    <w:rsid w:val="00FD2BDE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D722"/>
  <w15:chartTrackingRefBased/>
  <w15:docId w15:val="{76315501-8395-4152-8FA9-F7B887D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B4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35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0BB"/>
  </w:style>
  <w:style w:type="paragraph" w:styleId="Footer">
    <w:name w:val="footer"/>
    <w:basedOn w:val="Normal"/>
    <w:link w:val="FooterChar"/>
    <w:uiPriority w:val="99"/>
    <w:unhideWhenUsed/>
    <w:rsid w:val="0091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0BB"/>
  </w:style>
  <w:style w:type="paragraph" w:styleId="ListParagraph">
    <w:name w:val="List Paragraph"/>
    <w:basedOn w:val="Normal"/>
    <w:uiPriority w:val="34"/>
    <w:qFormat/>
    <w:rsid w:val="0084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soohr-my.sharepoint.com/personal/gordana_kovacevic_asoo_hr/Documents/Desktop/ASOO%20Kova&#269;evi&#263;/IZVJE&#352;TAJI/IZVJE&#352;TAJ%20O%20IZVR&#352;ENJU%20PRORA&#268;UNA%20I%20FP/Izvje&#353;taj%20o%20izvr&#353;enju%20FP%2001.01.-31.12.2024/pomo&#263;na%20graf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soohr-my.sharepoint.com/personal/gordana_kovacevic_asoo_hr/Documents/Desktop/ASOO%20Kova&#269;evi&#263;/IZVJE&#352;TAJI/IZVJE&#352;TAJ%20O%20IZVR&#352;ENJU%20PRORA&#268;UNA%20I%20FP/Izvje&#353;taj%20o%20izvr&#353;enju%20FP%2001.01.-31.12.2024/pomo&#263;na%20graf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soohr-my.sharepoint.com/personal/gordana_kovacevic_asoo_hr/Documents/Desktop/ASOO%20Kova&#269;evi&#263;/IZVJE&#352;TAJI/IZVJE&#352;TAJ%20O%20IZVR&#352;ENJU%20PRORA&#268;UNA%20I%20FP/Izvje&#353;taj%20o%20izvr&#353;enju%20FP%2001.01.-31.12.2024/radno%20graf%203%20-%20rashod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soohr-my.sharepoint.com/personal/gordana_kovacevic_asoo_hr/Documents/Desktop/ASOO%20Kova&#269;evi&#263;/IZVJE&#352;TAJI/IZVJE&#352;TAJ%20O%20IZVR&#352;ENJU%20PRORA&#268;UNA%20I%20FP/Izvje&#353;taj%20o%20izvr&#353;enju%20FP%2001.01.-31.12.2024/pomo&#263;na%20graf%202%20-rashod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prema</a:t>
            </a:r>
            <a:r>
              <a:rPr lang="hr-HR" baseline="0"/>
              <a:t> skupinama za 2024. i 2023. godinu u EUR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'A.1 PRIHODI EK'!$K$12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'A.1 PRIHODI EK'!$L$11:$M$11</c:f>
              <c:strCache>
                <c:ptCount val="2"/>
                <c:pt idx="0">
                  <c:v>63 Pomoći iz inozemstva (darovnice) i od subjekata unutar općeg proračuna</c:v>
                </c:pt>
                <c:pt idx="1">
                  <c:v>67 'Prihodi iz proračuna</c:v>
                </c:pt>
              </c:strCache>
            </c:strRef>
          </c:cat>
          <c:val>
            <c:numRef>
              <c:f>'A.1 PRIHODI EK'!$L$12:$M$12</c:f>
              <c:numCache>
                <c:formatCode>_(* #,##0.00_);_(* \(#,##0.00\);_(* "-"??_);_(@_)</c:formatCode>
                <c:ptCount val="2"/>
                <c:pt idx="0">
                  <c:v>9412999.9900000002</c:v>
                </c:pt>
                <c:pt idx="1">
                  <c:v>3989663.44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9B-413D-8765-2CC5E390B7F7}"/>
            </c:ext>
          </c:extLst>
        </c:ser>
        <c:ser>
          <c:idx val="1"/>
          <c:order val="1"/>
          <c:tx>
            <c:strRef>
              <c:f>'A.1 PRIHODI EK'!$K$13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'A.1 PRIHODI EK'!$L$11:$M$11</c:f>
              <c:strCache>
                <c:ptCount val="2"/>
                <c:pt idx="0">
                  <c:v>63 Pomoći iz inozemstva (darovnice) i od subjekata unutar općeg proračuna</c:v>
                </c:pt>
                <c:pt idx="1">
                  <c:v>67 'Prihodi iz proračuna</c:v>
                </c:pt>
              </c:strCache>
            </c:strRef>
          </c:cat>
          <c:val>
            <c:numRef>
              <c:f>'A.1 PRIHODI EK'!$L$13:$M$13</c:f>
              <c:numCache>
                <c:formatCode>_(* #,##0.00_);_(* \(#,##0.00\);_(* "-"??_);_(@_)</c:formatCode>
                <c:ptCount val="2"/>
                <c:pt idx="0">
                  <c:v>5599534.2599999998</c:v>
                </c:pt>
                <c:pt idx="1">
                  <c:v>4230208.07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9B-413D-8765-2CC5E390B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4244864"/>
        <c:axId val="1344242944"/>
      </c:barChart>
      <c:catAx>
        <c:axId val="134424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44242944"/>
        <c:crosses val="autoZero"/>
        <c:auto val="1"/>
        <c:lblAlgn val="ctr"/>
        <c:lblOffset val="100"/>
        <c:noMultiLvlLbl val="0"/>
      </c:catAx>
      <c:valAx>
        <c:axId val="134424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4424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 financijskog plana ukupnih prihoda</a:t>
            </a:r>
            <a:r>
              <a:rPr lang="hr-HR" baseline="0"/>
              <a:t> 2024. godine u EUR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'A.1 PRIHODI EK'!$K$33:$K$35</c:f>
              <c:strCache>
                <c:ptCount val="3"/>
                <c:pt idx="0">
                  <c:v>OSTVARENJE/IZVRŠENJE </c:v>
                </c:pt>
                <c:pt idx="1">
                  <c:v>TEKUĆI PLAN </c:v>
                </c:pt>
                <c:pt idx="2">
                  <c:v>IZVORNI PLAN ILI REBALANS </c:v>
                </c:pt>
              </c:strCache>
            </c:strRef>
          </c:cat>
          <c:val>
            <c:numRef>
              <c:f>'A.1 PRIHODI EK'!$M$33:$M$35</c:f>
              <c:numCache>
                <c:formatCode>_(* #,##0.00_);_(* \(#,##0.00\);_(* "-"??_);_(@_)</c:formatCode>
                <c:ptCount val="3"/>
                <c:pt idx="0">
                  <c:v>9829742.3300000001</c:v>
                </c:pt>
                <c:pt idx="1">
                  <c:v>12719132</c:v>
                </c:pt>
                <c:pt idx="2">
                  <c:v>13165004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DE-49D6-936E-44C72B5E2F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64866000"/>
        <c:axId val="136486456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'A.1 PRIHODI EK'!$K$33:$K$35</c15:sqref>
                        </c15:formulaRef>
                      </c:ext>
                    </c:extLst>
                    <c:strCache>
                      <c:ptCount val="3"/>
                      <c:pt idx="0">
                        <c:v>OSTVARENJE/IZVRŠENJE </c:v>
                      </c:pt>
                      <c:pt idx="1">
                        <c:v>TEKUĆI PLAN </c:v>
                      </c:pt>
                      <c:pt idx="2">
                        <c:v>IZVORNI PLAN ILI REBALANS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'A.1 PRIHODI EK'!$L$33:$L$35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5DE-49D6-936E-44C72B5E2FD7}"/>
                  </c:ext>
                </c:extLst>
              </c15:ser>
            </c15:filteredBarSeries>
          </c:ext>
        </c:extLst>
      </c:barChart>
      <c:catAx>
        <c:axId val="136486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4864560"/>
        <c:crosses val="autoZero"/>
        <c:auto val="1"/>
        <c:lblAlgn val="ctr"/>
        <c:lblOffset val="100"/>
        <c:noMultiLvlLbl val="0"/>
      </c:catAx>
      <c:valAx>
        <c:axId val="136486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486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  <a:r>
              <a:rPr lang="hr-HR" baseline="0"/>
              <a:t> prema skupinama </a:t>
            </a:r>
            <a:r>
              <a:rPr lang="en-US" sz="1400" b="0" i="0" u="none" strike="noStrike" baseline="0">
                <a:effectLst/>
              </a:rPr>
              <a:t>za 2024. i 2023. godinu u EUR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'A.1 RASHODI EK'!$K$19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'A.1 RASHODI EK'!$L$18:$Q$18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Pomoći dane u inozemstvo i unutar općeg proračuna</c:v>
                </c:pt>
                <c:pt idx="4">
                  <c:v>38 Ostali rashodi</c:v>
                </c:pt>
                <c:pt idx="5">
                  <c:v>42 Rashodi za nabavu proizvedene dugotrajne imovine</c:v>
                </c:pt>
              </c:strCache>
            </c:strRef>
          </c:cat>
          <c:val>
            <c:numRef>
              <c:f>'A.1 RASHODI EK'!$L$19:$Q$19</c:f>
              <c:numCache>
                <c:formatCode>_(* #,##0.00_);_(* \(#,##0.00\);_(* "-"??_);_(@_)</c:formatCode>
                <c:ptCount val="6"/>
                <c:pt idx="0">
                  <c:v>3621740.69</c:v>
                </c:pt>
                <c:pt idx="1">
                  <c:v>9513746.4199999999</c:v>
                </c:pt>
                <c:pt idx="2">
                  <c:v>57.55</c:v>
                </c:pt>
                <c:pt idx="3">
                  <c:v>221214.63</c:v>
                </c:pt>
                <c:pt idx="4">
                  <c:v>5134.46</c:v>
                </c:pt>
                <c:pt idx="5">
                  <c:v>70223.7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D5-4D35-B8E0-CF76C890E90D}"/>
            </c:ext>
          </c:extLst>
        </c:ser>
        <c:ser>
          <c:idx val="1"/>
          <c:order val="1"/>
          <c:tx>
            <c:strRef>
              <c:f>'A.1 RASHODI EK'!$K$20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'A.1 RASHODI EK'!$L$18:$Q$18</c:f>
              <c:strCache>
                <c:ptCount val="6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36 Pomoći dane u inozemstvo i unutar općeg proračuna</c:v>
                </c:pt>
                <c:pt idx="4">
                  <c:v>38 Ostali rashodi</c:v>
                </c:pt>
                <c:pt idx="5">
                  <c:v>42 Rashodi za nabavu proizvedene dugotrajne imovine</c:v>
                </c:pt>
              </c:strCache>
            </c:strRef>
          </c:cat>
          <c:val>
            <c:numRef>
              <c:f>'A.1 RASHODI EK'!$L$20:$Q$20</c:f>
              <c:numCache>
                <c:formatCode>_(* #,##0.00_);_(* \(#,##0.00\);_(* "-"??_);_(@_)</c:formatCode>
                <c:ptCount val="6"/>
                <c:pt idx="0">
                  <c:v>4873096.59</c:v>
                </c:pt>
                <c:pt idx="1">
                  <c:v>4402667.2300000004</c:v>
                </c:pt>
                <c:pt idx="2">
                  <c:v>15.12</c:v>
                </c:pt>
                <c:pt idx="3">
                  <c:v>234638.69</c:v>
                </c:pt>
                <c:pt idx="4">
                  <c:v>0</c:v>
                </c:pt>
                <c:pt idx="5">
                  <c:v>214246.09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D5-4D35-B8E0-CF76C890E9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2758816"/>
        <c:axId val="1652756416"/>
      </c:barChart>
      <c:catAx>
        <c:axId val="165275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52756416"/>
        <c:crosses val="autoZero"/>
        <c:auto val="1"/>
        <c:lblAlgn val="ctr"/>
        <c:lblOffset val="100"/>
        <c:noMultiLvlLbl val="0"/>
      </c:catAx>
      <c:valAx>
        <c:axId val="165275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527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 financijskog plana po skupinama rashoda za 2024. godinu u EUR</a:t>
            </a:r>
          </a:p>
        </c:rich>
      </c:tx>
      <c:layout>
        <c:manualLayout>
          <c:xMode val="edge"/>
          <c:yMode val="edge"/>
          <c:x val="0.17168694070721477"/>
          <c:y val="1.36708304132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'A.1 RASHODI EK'!$L$10</c:f>
              <c:strCache>
                <c:ptCount val="1"/>
                <c:pt idx="0">
                  <c:v>IZVORNI PLAN ILI REBALANS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'A.1 RASHODI EK'!$J$11:$K$15</c:f>
              <c:multiLvlStrCache>
                <c:ptCount val="5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Pomoći dane u inozemstvo i unutar općeg proračuna</c:v>
                  </c:pt>
                  <c:pt idx="4">
                    <c:v>Rashodi za nabavu proizvedene dugotrajne imovine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36</c:v>
                  </c:pt>
                  <c:pt idx="4">
                    <c:v>42</c:v>
                  </c:pt>
                </c:lvl>
              </c:multiLvlStrCache>
            </c:multiLvlStrRef>
          </c:cat>
          <c:val>
            <c:numRef>
              <c:f>'A.1 RASHODI EK'!$L$11:$L$15</c:f>
              <c:numCache>
                <c:formatCode>_(* #,##0.00_);_(* \(#,##0.00\);_(* "-"??_);_(@_)</c:formatCode>
                <c:ptCount val="5"/>
                <c:pt idx="0">
                  <c:v>5746354</c:v>
                </c:pt>
                <c:pt idx="1">
                  <c:v>7055060</c:v>
                </c:pt>
                <c:pt idx="2">
                  <c:v>27</c:v>
                </c:pt>
                <c:pt idx="3">
                  <c:v>267525</c:v>
                </c:pt>
                <c:pt idx="4">
                  <c:v>274574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11-4C5D-927E-D9598E67D51A}"/>
            </c:ext>
          </c:extLst>
        </c:ser>
        <c:ser>
          <c:idx val="1"/>
          <c:order val="1"/>
          <c:tx>
            <c:strRef>
              <c:f>'A.1 RASHODI EK'!$M$10</c:f>
              <c:strCache>
                <c:ptCount val="1"/>
                <c:pt idx="0">
                  <c:v>TEKUĆI PLAN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'A.1 RASHODI EK'!$J$11:$K$15</c:f>
              <c:multiLvlStrCache>
                <c:ptCount val="5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Pomoći dane u inozemstvo i unutar općeg proračuna</c:v>
                  </c:pt>
                  <c:pt idx="4">
                    <c:v>Rashodi za nabavu proizvedene dugotrajne imovine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36</c:v>
                  </c:pt>
                  <c:pt idx="4">
                    <c:v>42</c:v>
                  </c:pt>
                </c:lvl>
              </c:multiLvlStrCache>
            </c:multiLvlStrRef>
          </c:cat>
          <c:val>
            <c:numRef>
              <c:f>'A.1 RASHODI EK'!$M$11:$M$15</c:f>
              <c:numCache>
                <c:formatCode>_(* #,##0.00_);_(* \(#,##0.00\);_(* "-"??_);_(@_)</c:formatCode>
                <c:ptCount val="5"/>
                <c:pt idx="0">
                  <c:v>5696354</c:v>
                </c:pt>
                <c:pt idx="1">
                  <c:v>6676473</c:v>
                </c:pt>
                <c:pt idx="2">
                  <c:v>27</c:v>
                </c:pt>
                <c:pt idx="3">
                  <c:v>267562</c:v>
                </c:pt>
                <c:pt idx="4">
                  <c:v>257252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11-4C5D-927E-D9598E67D51A}"/>
            </c:ext>
          </c:extLst>
        </c:ser>
        <c:ser>
          <c:idx val="2"/>
          <c:order val="2"/>
          <c:tx>
            <c:strRef>
              <c:f>'A.1 RASHODI EK'!$N$10</c:f>
              <c:strCache>
                <c:ptCount val="1"/>
                <c:pt idx="0">
                  <c:v>OSTVARENJE/IZVRŠENJE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'A.1 RASHODI EK'!$J$11:$K$15</c:f>
              <c:multiLvlStrCache>
                <c:ptCount val="5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Pomoći dane u inozemstvo i unutar općeg proračuna</c:v>
                  </c:pt>
                  <c:pt idx="4">
                    <c:v>Rashodi za nabavu proizvedene dugotrajne imovine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36</c:v>
                  </c:pt>
                  <c:pt idx="4">
                    <c:v>42</c:v>
                  </c:pt>
                </c:lvl>
              </c:multiLvlStrCache>
            </c:multiLvlStrRef>
          </c:cat>
          <c:val>
            <c:numRef>
              <c:f>'A.1 RASHODI EK'!$N$11:$N$15</c:f>
              <c:numCache>
                <c:formatCode>_(* #,##0.00_);_(* \(#,##0.00\);_(* "-"??_);_(@_)</c:formatCode>
                <c:ptCount val="5"/>
                <c:pt idx="0">
                  <c:v>4873096.59</c:v>
                </c:pt>
                <c:pt idx="1">
                  <c:v>4402667.2299999995</c:v>
                </c:pt>
                <c:pt idx="2">
                  <c:v>15.12</c:v>
                </c:pt>
                <c:pt idx="3">
                  <c:v>234638.69</c:v>
                </c:pt>
                <c:pt idx="4">
                  <c:v>214246.09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11-4C5D-927E-D9598E67D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64941472"/>
        <c:axId val="1364941952"/>
      </c:barChart>
      <c:catAx>
        <c:axId val="136494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4941952"/>
        <c:crosses val="autoZero"/>
        <c:auto val="1"/>
        <c:lblAlgn val="ctr"/>
        <c:lblOffset val="100"/>
        <c:noMultiLvlLbl val="0"/>
      </c:catAx>
      <c:valAx>
        <c:axId val="136494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494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792</Words>
  <Characters>5126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Jurić</dc:creator>
  <cp:keywords/>
  <dc:description/>
  <cp:lastModifiedBy>Suzana Paponja</cp:lastModifiedBy>
  <cp:revision>2</cp:revision>
  <cp:lastPrinted>2024-10-30T07:16:00Z</cp:lastPrinted>
  <dcterms:created xsi:type="dcterms:W3CDTF">2025-03-21T15:15:00Z</dcterms:created>
  <dcterms:modified xsi:type="dcterms:W3CDTF">2025-03-21T15:15:00Z</dcterms:modified>
</cp:coreProperties>
</file>