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F14EF0" w14:paraId="6CFC805D" w14:textId="77777777">
        <w:tblPrEx>
          <w:tblCellMar>
            <w:top w:w="0" w:type="dxa"/>
            <w:bottom w:w="0" w:type="dxa"/>
          </w:tblCellMar>
        </w:tblPrEx>
        <w:trPr>
          <w:tblCellSpacing w:w="60" w:type="dxa"/>
        </w:trPr>
        <w:tc>
          <w:tcPr>
            <w:tcW w:w="1200" w:type="pct"/>
            <w:shd w:val="clear" w:color="auto" w:fill="E7F0F9"/>
          </w:tcPr>
          <w:p w14:paraId="0B09FBEC" w14:textId="77777777" w:rsidR="00F14EF0" w:rsidRDefault="00AB54D4">
            <w:pPr>
              <w:spacing w:after="0" w:line="240" w:lineRule="auto"/>
            </w:pPr>
            <w:r>
              <w:rPr>
                <w:b/>
              </w:rPr>
              <w:t>RKP broj</w:t>
            </w:r>
          </w:p>
        </w:tc>
        <w:tc>
          <w:tcPr>
            <w:tcW w:w="0" w:type="auto"/>
            <w:shd w:val="clear" w:color="auto" w:fill="E7F0F9"/>
          </w:tcPr>
          <w:p w14:paraId="19124562" w14:textId="77777777" w:rsidR="00F14EF0" w:rsidRDefault="00AB54D4">
            <w:pPr>
              <w:spacing w:after="0" w:line="240" w:lineRule="auto"/>
            </w:pPr>
            <w:r>
              <w:t>46173</w:t>
            </w:r>
          </w:p>
        </w:tc>
      </w:tr>
      <w:tr w:rsidR="00F14EF0" w14:paraId="6B3040FC" w14:textId="77777777">
        <w:tblPrEx>
          <w:tblCellMar>
            <w:top w:w="0" w:type="dxa"/>
            <w:bottom w:w="0" w:type="dxa"/>
          </w:tblCellMar>
        </w:tblPrEx>
        <w:trPr>
          <w:tblCellSpacing w:w="60" w:type="dxa"/>
        </w:trPr>
        <w:tc>
          <w:tcPr>
            <w:tcW w:w="1200" w:type="pct"/>
            <w:shd w:val="clear" w:color="auto" w:fill="E7F0F9"/>
          </w:tcPr>
          <w:p w14:paraId="2DD55FBB" w14:textId="77777777" w:rsidR="00F14EF0" w:rsidRDefault="00AB54D4">
            <w:pPr>
              <w:spacing w:after="0" w:line="240" w:lineRule="auto"/>
            </w:pPr>
            <w:r>
              <w:rPr>
                <w:b/>
              </w:rPr>
              <w:t>Naziv obveznika</w:t>
            </w:r>
          </w:p>
        </w:tc>
        <w:tc>
          <w:tcPr>
            <w:tcW w:w="0" w:type="auto"/>
            <w:shd w:val="clear" w:color="auto" w:fill="E7F0F9"/>
          </w:tcPr>
          <w:p w14:paraId="6DC64ACB" w14:textId="77777777" w:rsidR="00F14EF0" w:rsidRDefault="00AB54D4">
            <w:pPr>
              <w:spacing w:after="0" w:line="240" w:lineRule="auto"/>
            </w:pPr>
            <w:r>
              <w:t>AGENCIJA ZA STRUKOVNO OBRAZOVANJE I OBRAZOVANJE ODRASLIH</w:t>
            </w:r>
          </w:p>
        </w:tc>
      </w:tr>
      <w:tr w:rsidR="00F14EF0" w14:paraId="704B19EB" w14:textId="77777777">
        <w:tblPrEx>
          <w:tblCellMar>
            <w:top w:w="0" w:type="dxa"/>
            <w:bottom w:w="0" w:type="dxa"/>
          </w:tblCellMar>
        </w:tblPrEx>
        <w:trPr>
          <w:tblCellSpacing w:w="60" w:type="dxa"/>
        </w:trPr>
        <w:tc>
          <w:tcPr>
            <w:tcW w:w="1200" w:type="pct"/>
            <w:shd w:val="clear" w:color="auto" w:fill="E7F0F9"/>
          </w:tcPr>
          <w:p w14:paraId="3539EB79" w14:textId="77777777" w:rsidR="00F14EF0" w:rsidRDefault="00AB54D4">
            <w:pPr>
              <w:spacing w:after="0" w:line="240" w:lineRule="auto"/>
            </w:pPr>
            <w:r>
              <w:rPr>
                <w:b/>
              </w:rPr>
              <w:t>Razina</w:t>
            </w:r>
          </w:p>
        </w:tc>
        <w:tc>
          <w:tcPr>
            <w:tcW w:w="0" w:type="auto"/>
            <w:shd w:val="clear" w:color="auto" w:fill="E7F0F9"/>
          </w:tcPr>
          <w:p w14:paraId="0A0B5867" w14:textId="77777777" w:rsidR="00F14EF0" w:rsidRDefault="00AB54D4">
            <w:pPr>
              <w:spacing w:after="0" w:line="240" w:lineRule="auto"/>
            </w:pPr>
            <w:r>
              <w:t>11</w:t>
            </w:r>
          </w:p>
        </w:tc>
      </w:tr>
    </w:tbl>
    <w:p w14:paraId="0C2E368C" w14:textId="77777777" w:rsidR="00F14EF0" w:rsidRDefault="00AB54D4">
      <w:r>
        <w:br/>
      </w:r>
    </w:p>
    <w:p w14:paraId="63EF5B2B" w14:textId="77777777" w:rsidR="00F14EF0" w:rsidRDefault="00AB54D4">
      <w:pPr>
        <w:spacing w:line="240" w:lineRule="auto"/>
        <w:jc w:val="center"/>
      </w:pPr>
      <w:r>
        <w:rPr>
          <w:b/>
          <w:sz w:val="28"/>
        </w:rPr>
        <w:t>BILJEŠKE UZ FINANCIJSKE IZVJEŠTAJE</w:t>
      </w:r>
    </w:p>
    <w:p w14:paraId="7089774E" w14:textId="77777777" w:rsidR="00F14EF0" w:rsidRDefault="00AB54D4">
      <w:pPr>
        <w:spacing w:line="240" w:lineRule="auto"/>
        <w:jc w:val="center"/>
      </w:pPr>
      <w:r>
        <w:rPr>
          <w:b/>
          <w:sz w:val="28"/>
        </w:rPr>
        <w:t>ZA RAZDOBLJE</w:t>
      </w:r>
    </w:p>
    <w:p w14:paraId="64B2E0BF" w14:textId="77777777" w:rsidR="00F14EF0" w:rsidRDefault="00AB54D4">
      <w:pPr>
        <w:spacing w:line="240" w:lineRule="auto"/>
        <w:jc w:val="center"/>
      </w:pPr>
      <w:r>
        <w:rPr>
          <w:b/>
          <w:sz w:val="28"/>
        </w:rPr>
        <w:t>I - XII 2025.</w:t>
      </w:r>
    </w:p>
    <w:p w14:paraId="3D64F181" w14:textId="77777777" w:rsidR="00F14EF0" w:rsidRDefault="00F14EF0"/>
    <w:p w14:paraId="6491ADD7" w14:textId="77777777" w:rsidR="00F14EF0" w:rsidRDefault="00AB54D4">
      <w:pPr>
        <w:keepNext/>
        <w:spacing w:line="240" w:lineRule="auto"/>
        <w:jc w:val="center"/>
      </w:pPr>
      <w:r>
        <w:rPr>
          <w:b/>
          <w:sz w:val="28"/>
        </w:rPr>
        <w:t>Izvještaj o prihodima i rashodima, primicima i izdacima</w:t>
      </w:r>
    </w:p>
    <w:p w14:paraId="43C6F1FD" w14:textId="77777777" w:rsidR="00F14EF0" w:rsidRDefault="00AB54D4">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4EF0" w14:paraId="1D2200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3E4B6E" w14:textId="77777777" w:rsidR="00F14EF0" w:rsidRDefault="00AB54D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E0909A" w14:textId="77777777" w:rsidR="00F14EF0" w:rsidRDefault="00AB54D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185563" w14:textId="77777777" w:rsidR="00F14EF0" w:rsidRDefault="00AB54D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90911A" w14:textId="77777777" w:rsidR="00F14EF0" w:rsidRDefault="00AB54D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1B7FFD" w14:textId="77777777" w:rsidR="00F14EF0" w:rsidRDefault="00AB54D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09FC54" w14:textId="77777777" w:rsidR="00F14EF0" w:rsidRDefault="00AB54D4">
            <w:pPr>
              <w:keepNext/>
              <w:keepLines/>
              <w:spacing w:after="0" w:line="240" w:lineRule="auto"/>
              <w:jc w:val="center"/>
            </w:pPr>
            <w:r>
              <w:rPr>
                <w:b/>
                <w:sz w:val="18"/>
              </w:rPr>
              <w:t>Indeks (%)</w:t>
            </w:r>
          </w:p>
        </w:tc>
      </w:tr>
      <w:tr w:rsidR="00F14EF0" w14:paraId="6F3968F2" w14:textId="77777777">
        <w:tblPrEx>
          <w:tblCellMar>
            <w:top w:w="0" w:type="dxa"/>
            <w:bottom w:w="0" w:type="dxa"/>
          </w:tblCellMar>
        </w:tblPrEx>
        <w:trPr>
          <w:cantSplit/>
          <w:trHeight w:val="560"/>
        </w:trPr>
        <w:tc>
          <w:tcPr>
            <w:tcW w:w="700" w:type="dxa"/>
            <w:tcMar>
              <w:top w:w="0" w:type="dxa"/>
              <w:bottom w:w="0" w:type="dxa"/>
            </w:tcMar>
            <w:vAlign w:val="center"/>
          </w:tcPr>
          <w:p w14:paraId="3C6D9A23" w14:textId="77777777" w:rsidR="00F14EF0" w:rsidRDefault="00AB54D4">
            <w:pPr>
              <w:keepNext/>
              <w:keepLines/>
              <w:spacing w:after="0" w:line="240" w:lineRule="auto"/>
            </w:pPr>
            <w:r>
              <w:rPr>
                <w:sz w:val="18"/>
              </w:rPr>
              <w:t>6</w:t>
            </w:r>
          </w:p>
        </w:tc>
        <w:tc>
          <w:tcPr>
            <w:tcW w:w="3180" w:type="dxa"/>
            <w:tcMar>
              <w:top w:w="0" w:type="dxa"/>
              <w:bottom w:w="0" w:type="dxa"/>
            </w:tcMar>
            <w:vAlign w:val="center"/>
          </w:tcPr>
          <w:p w14:paraId="53BEF7BF" w14:textId="77777777" w:rsidR="00F14EF0" w:rsidRDefault="00AB54D4">
            <w:pPr>
              <w:keepNext/>
              <w:keepLines/>
              <w:spacing w:after="0" w:line="240" w:lineRule="auto"/>
            </w:pPr>
            <w:r>
              <w:rPr>
                <w:sz w:val="18"/>
              </w:rPr>
              <w:t>PRIHODI POSLOVANJA (šifre 61+62+63+64+65+66+67+68)</w:t>
            </w:r>
          </w:p>
        </w:tc>
        <w:tc>
          <w:tcPr>
            <w:tcW w:w="700" w:type="dxa"/>
            <w:tcMar>
              <w:top w:w="0" w:type="dxa"/>
              <w:bottom w:w="0" w:type="dxa"/>
            </w:tcMar>
            <w:vAlign w:val="center"/>
          </w:tcPr>
          <w:p w14:paraId="60333BB8" w14:textId="77777777" w:rsidR="00F14EF0" w:rsidRDefault="00AB54D4">
            <w:pPr>
              <w:keepNext/>
              <w:keepLines/>
              <w:spacing w:after="0" w:line="240" w:lineRule="auto"/>
            </w:pPr>
            <w:r>
              <w:rPr>
                <w:sz w:val="18"/>
              </w:rPr>
              <w:t>6</w:t>
            </w:r>
          </w:p>
        </w:tc>
        <w:tc>
          <w:tcPr>
            <w:tcW w:w="1860" w:type="dxa"/>
            <w:tcMar>
              <w:top w:w="0" w:type="dxa"/>
              <w:bottom w:w="0" w:type="dxa"/>
            </w:tcMar>
            <w:vAlign w:val="center"/>
          </w:tcPr>
          <w:p w14:paraId="2886D9D0" w14:textId="77777777" w:rsidR="00F14EF0" w:rsidRDefault="00AB54D4">
            <w:pPr>
              <w:keepNext/>
              <w:keepLines/>
              <w:spacing w:after="0" w:line="240" w:lineRule="auto"/>
              <w:jc w:val="right"/>
            </w:pPr>
            <w:r>
              <w:rPr>
                <w:sz w:val="18"/>
              </w:rPr>
              <w:t>9.829.742,33</w:t>
            </w:r>
          </w:p>
        </w:tc>
        <w:tc>
          <w:tcPr>
            <w:tcW w:w="1860" w:type="dxa"/>
            <w:tcMar>
              <w:top w:w="0" w:type="dxa"/>
              <w:bottom w:w="0" w:type="dxa"/>
            </w:tcMar>
            <w:vAlign w:val="center"/>
          </w:tcPr>
          <w:p w14:paraId="585EBD7A" w14:textId="77777777" w:rsidR="00F14EF0" w:rsidRDefault="00AB54D4">
            <w:pPr>
              <w:keepNext/>
              <w:keepLines/>
              <w:spacing w:after="0" w:line="240" w:lineRule="auto"/>
              <w:jc w:val="right"/>
            </w:pPr>
            <w:r>
              <w:rPr>
                <w:sz w:val="18"/>
              </w:rPr>
              <w:t>12.422.596,09</w:t>
            </w:r>
          </w:p>
        </w:tc>
        <w:tc>
          <w:tcPr>
            <w:tcW w:w="700" w:type="dxa"/>
            <w:tcMar>
              <w:top w:w="0" w:type="dxa"/>
              <w:bottom w:w="0" w:type="dxa"/>
            </w:tcMar>
            <w:vAlign w:val="center"/>
          </w:tcPr>
          <w:p w14:paraId="4597E502" w14:textId="77777777" w:rsidR="00F14EF0" w:rsidRDefault="00AB54D4">
            <w:pPr>
              <w:keepNext/>
              <w:keepLines/>
              <w:spacing w:after="0" w:line="240" w:lineRule="auto"/>
              <w:jc w:val="right"/>
            </w:pPr>
            <w:r>
              <w:rPr>
                <w:sz w:val="18"/>
              </w:rPr>
              <w:t>126,4</w:t>
            </w:r>
          </w:p>
        </w:tc>
      </w:tr>
      <w:tr w:rsidR="00F14EF0" w14:paraId="442B5746" w14:textId="77777777">
        <w:tblPrEx>
          <w:tblCellMar>
            <w:top w:w="0" w:type="dxa"/>
            <w:bottom w:w="0" w:type="dxa"/>
          </w:tblCellMar>
        </w:tblPrEx>
        <w:trPr>
          <w:cantSplit/>
          <w:trHeight w:val="560"/>
        </w:trPr>
        <w:tc>
          <w:tcPr>
            <w:tcW w:w="700" w:type="dxa"/>
            <w:tcMar>
              <w:top w:w="0" w:type="dxa"/>
              <w:bottom w:w="0" w:type="dxa"/>
            </w:tcMar>
            <w:vAlign w:val="center"/>
          </w:tcPr>
          <w:p w14:paraId="087C0959" w14:textId="77777777" w:rsidR="00F14EF0" w:rsidRDefault="00AB54D4">
            <w:pPr>
              <w:keepNext/>
              <w:keepLines/>
              <w:spacing w:after="0" w:line="240" w:lineRule="auto"/>
            </w:pPr>
            <w:r>
              <w:rPr>
                <w:sz w:val="18"/>
              </w:rPr>
              <w:t>3</w:t>
            </w:r>
          </w:p>
        </w:tc>
        <w:tc>
          <w:tcPr>
            <w:tcW w:w="3180" w:type="dxa"/>
            <w:tcMar>
              <w:top w:w="0" w:type="dxa"/>
              <w:bottom w:w="0" w:type="dxa"/>
            </w:tcMar>
            <w:vAlign w:val="center"/>
          </w:tcPr>
          <w:p w14:paraId="197F5182" w14:textId="77777777" w:rsidR="00F14EF0" w:rsidRDefault="00AB54D4">
            <w:pPr>
              <w:keepNext/>
              <w:keepLines/>
              <w:spacing w:after="0" w:line="240" w:lineRule="auto"/>
            </w:pPr>
            <w:r>
              <w:rPr>
                <w:sz w:val="18"/>
              </w:rPr>
              <w:t>RASHODI POSLOVANJA (šifre 31+32+34+35+36+37+38)</w:t>
            </w:r>
          </w:p>
        </w:tc>
        <w:tc>
          <w:tcPr>
            <w:tcW w:w="700" w:type="dxa"/>
            <w:tcMar>
              <w:top w:w="0" w:type="dxa"/>
              <w:bottom w:w="0" w:type="dxa"/>
            </w:tcMar>
            <w:vAlign w:val="center"/>
          </w:tcPr>
          <w:p w14:paraId="4466A837" w14:textId="77777777" w:rsidR="00F14EF0" w:rsidRDefault="00AB54D4">
            <w:pPr>
              <w:keepNext/>
              <w:keepLines/>
              <w:spacing w:after="0" w:line="240" w:lineRule="auto"/>
            </w:pPr>
            <w:r>
              <w:rPr>
                <w:sz w:val="18"/>
              </w:rPr>
              <w:t>3</w:t>
            </w:r>
          </w:p>
        </w:tc>
        <w:tc>
          <w:tcPr>
            <w:tcW w:w="1860" w:type="dxa"/>
            <w:tcMar>
              <w:top w:w="0" w:type="dxa"/>
              <w:bottom w:w="0" w:type="dxa"/>
            </w:tcMar>
            <w:vAlign w:val="center"/>
          </w:tcPr>
          <w:p w14:paraId="31502477" w14:textId="77777777" w:rsidR="00F14EF0" w:rsidRDefault="00AB54D4">
            <w:pPr>
              <w:keepNext/>
              <w:keepLines/>
              <w:spacing w:after="0" w:line="240" w:lineRule="auto"/>
              <w:jc w:val="right"/>
            </w:pPr>
            <w:r>
              <w:rPr>
                <w:sz w:val="18"/>
              </w:rPr>
              <w:t>9.510.416,36</w:t>
            </w:r>
          </w:p>
        </w:tc>
        <w:tc>
          <w:tcPr>
            <w:tcW w:w="1860" w:type="dxa"/>
            <w:tcMar>
              <w:top w:w="0" w:type="dxa"/>
              <w:bottom w:w="0" w:type="dxa"/>
            </w:tcMar>
            <w:vAlign w:val="center"/>
          </w:tcPr>
          <w:p w14:paraId="6A93C4F1" w14:textId="77777777" w:rsidR="00F14EF0" w:rsidRDefault="00AB54D4">
            <w:pPr>
              <w:keepNext/>
              <w:keepLines/>
              <w:spacing w:after="0" w:line="240" w:lineRule="auto"/>
              <w:jc w:val="right"/>
            </w:pPr>
            <w:r>
              <w:rPr>
                <w:sz w:val="18"/>
              </w:rPr>
              <w:t>12.772.188,47</w:t>
            </w:r>
          </w:p>
        </w:tc>
        <w:tc>
          <w:tcPr>
            <w:tcW w:w="700" w:type="dxa"/>
            <w:tcMar>
              <w:top w:w="0" w:type="dxa"/>
              <w:bottom w:w="0" w:type="dxa"/>
            </w:tcMar>
            <w:vAlign w:val="center"/>
          </w:tcPr>
          <w:p w14:paraId="41F737FA" w14:textId="77777777" w:rsidR="00F14EF0" w:rsidRDefault="00AB54D4">
            <w:pPr>
              <w:keepNext/>
              <w:keepLines/>
              <w:spacing w:after="0" w:line="240" w:lineRule="auto"/>
              <w:jc w:val="right"/>
            </w:pPr>
            <w:r>
              <w:rPr>
                <w:sz w:val="18"/>
              </w:rPr>
              <w:t>134,3</w:t>
            </w:r>
          </w:p>
        </w:tc>
      </w:tr>
      <w:tr w:rsidR="00F14EF0" w14:paraId="25D43C5A" w14:textId="77777777">
        <w:tblPrEx>
          <w:tblCellMar>
            <w:top w:w="0" w:type="dxa"/>
            <w:bottom w:w="0" w:type="dxa"/>
          </w:tblCellMar>
        </w:tblPrEx>
        <w:trPr>
          <w:cantSplit/>
          <w:trHeight w:val="560"/>
        </w:trPr>
        <w:tc>
          <w:tcPr>
            <w:tcW w:w="700" w:type="dxa"/>
            <w:tcMar>
              <w:top w:w="0" w:type="dxa"/>
              <w:bottom w:w="0" w:type="dxa"/>
            </w:tcMar>
            <w:vAlign w:val="center"/>
          </w:tcPr>
          <w:p w14:paraId="4DBFF005" w14:textId="77777777" w:rsidR="00F14EF0" w:rsidRDefault="00F14EF0">
            <w:pPr>
              <w:keepNext/>
              <w:keepLines/>
              <w:spacing w:after="0" w:line="240" w:lineRule="auto"/>
            </w:pPr>
          </w:p>
        </w:tc>
        <w:tc>
          <w:tcPr>
            <w:tcW w:w="3180" w:type="dxa"/>
            <w:tcMar>
              <w:top w:w="0" w:type="dxa"/>
              <w:bottom w:w="0" w:type="dxa"/>
            </w:tcMar>
            <w:vAlign w:val="center"/>
          </w:tcPr>
          <w:p w14:paraId="5767D69E" w14:textId="77777777" w:rsidR="00F14EF0" w:rsidRDefault="00AB54D4">
            <w:pPr>
              <w:keepNext/>
              <w:keepLines/>
              <w:spacing w:after="0" w:line="240" w:lineRule="auto"/>
            </w:pPr>
            <w:r>
              <w:rPr>
                <w:b/>
                <w:sz w:val="18"/>
              </w:rPr>
              <w:t>MANJAK PRIHODA POSLOVANJA (šifre Z005-6)</w:t>
            </w:r>
          </w:p>
        </w:tc>
        <w:tc>
          <w:tcPr>
            <w:tcW w:w="700" w:type="dxa"/>
            <w:tcMar>
              <w:top w:w="0" w:type="dxa"/>
              <w:bottom w:w="0" w:type="dxa"/>
            </w:tcMar>
            <w:vAlign w:val="center"/>
          </w:tcPr>
          <w:p w14:paraId="45A14D54" w14:textId="77777777" w:rsidR="00F14EF0" w:rsidRDefault="00AB54D4">
            <w:pPr>
              <w:keepNext/>
              <w:keepLines/>
              <w:spacing w:after="0" w:line="240" w:lineRule="auto"/>
            </w:pPr>
            <w:r>
              <w:rPr>
                <w:b/>
                <w:sz w:val="18"/>
              </w:rPr>
              <w:t>Y001</w:t>
            </w:r>
          </w:p>
        </w:tc>
        <w:tc>
          <w:tcPr>
            <w:tcW w:w="1860" w:type="dxa"/>
            <w:tcMar>
              <w:top w:w="0" w:type="dxa"/>
              <w:bottom w:w="0" w:type="dxa"/>
            </w:tcMar>
            <w:vAlign w:val="center"/>
          </w:tcPr>
          <w:p w14:paraId="582078DD" w14:textId="77777777" w:rsidR="00F14EF0" w:rsidRDefault="00AB54D4">
            <w:pPr>
              <w:keepNext/>
              <w:keepLines/>
              <w:spacing w:after="0" w:line="240" w:lineRule="auto"/>
              <w:jc w:val="right"/>
            </w:pPr>
            <w:r>
              <w:rPr>
                <w:b/>
                <w:sz w:val="18"/>
              </w:rPr>
              <w:t>0,00</w:t>
            </w:r>
          </w:p>
        </w:tc>
        <w:tc>
          <w:tcPr>
            <w:tcW w:w="1860" w:type="dxa"/>
            <w:tcMar>
              <w:top w:w="0" w:type="dxa"/>
              <w:bottom w:w="0" w:type="dxa"/>
            </w:tcMar>
            <w:vAlign w:val="center"/>
          </w:tcPr>
          <w:p w14:paraId="70C99EF5" w14:textId="77777777" w:rsidR="00F14EF0" w:rsidRDefault="00AB54D4">
            <w:pPr>
              <w:keepNext/>
              <w:keepLines/>
              <w:spacing w:after="0" w:line="240" w:lineRule="auto"/>
              <w:jc w:val="right"/>
            </w:pPr>
            <w:r>
              <w:rPr>
                <w:b/>
                <w:sz w:val="18"/>
              </w:rPr>
              <w:t>349.592,38</w:t>
            </w:r>
          </w:p>
        </w:tc>
        <w:tc>
          <w:tcPr>
            <w:tcW w:w="700" w:type="dxa"/>
            <w:tcMar>
              <w:top w:w="0" w:type="dxa"/>
              <w:bottom w:w="0" w:type="dxa"/>
            </w:tcMar>
            <w:vAlign w:val="center"/>
          </w:tcPr>
          <w:p w14:paraId="01E413B2" w14:textId="77777777" w:rsidR="00F14EF0" w:rsidRDefault="00AB54D4">
            <w:pPr>
              <w:keepNext/>
              <w:keepLines/>
              <w:spacing w:after="0" w:line="240" w:lineRule="auto"/>
              <w:jc w:val="right"/>
            </w:pPr>
            <w:r>
              <w:rPr>
                <w:b/>
                <w:sz w:val="18"/>
              </w:rPr>
              <w:t>-</w:t>
            </w:r>
          </w:p>
        </w:tc>
      </w:tr>
      <w:tr w:rsidR="00F14EF0" w14:paraId="24901325" w14:textId="77777777">
        <w:tblPrEx>
          <w:tblCellMar>
            <w:top w:w="0" w:type="dxa"/>
            <w:bottom w:w="0" w:type="dxa"/>
          </w:tblCellMar>
        </w:tblPrEx>
        <w:trPr>
          <w:cantSplit/>
          <w:trHeight w:val="560"/>
        </w:trPr>
        <w:tc>
          <w:tcPr>
            <w:tcW w:w="700" w:type="dxa"/>
            <w:tcMar>
              <w:top w:w="0" w:type="dxa"/>
              <w:bottom w:w="0" w:type="dxa"/>
            </w:tcMar>
            <w:vAlign w:val="center"/>
          </w:tcPr>
          <w:p w14:paraId="5A1C1460" w14:textId="77777777" w:rsidR="00F14EF0" w:rsidRDefault="00AB54D4">
            <w:pPr>
              <w:keepNext/>
              <w:keepLines/>
              <w:spacing w:after="0" w:line="240" w:lineRule="auto"/>
            </w:pPr>
            <w:r>
              <w:rPr>
                <w:sz w:val="18"/>
              </w:rPr>
              <w:t>7</w:t>
            </w:r>
          </w:p>
        </w:tc>
        <w:tc>
          <w:tcPr>
            <w:tcW w:w="3180" w:type="dxa"/>
            <w:tcMar>
              <w:top w:w="0" w:type="dxa"/>
              <w:bottom w:w="0" w:type="dxa"/>
            </w:tcMar>
            <w:vAlign w:val="center"/>
          </w:tcPr>
          <w:p w14:paraId="024682E4" w14:textId="77777777" w:rsidR="00F14EF0" w:rsidRDefault="00AB54D4">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66181A66" w14:textId="77777777" w:rsidR="00F14EF0" w:rsidRDefault="00AB54D4">
            <w:pPr>
              <w:keepNext/>
              <w:keepLines/>
              <w:spacing w:after="0" w:line="240" w:lineRule="auto"/>
            </w:pPr>
            <w:r>
              <w:rPr>
                <w:sz w:val="18"/>
              </w:rPr>
              <w:t>7</w:t>
            </w:r>
          </w:p>
        </w:tc>
        <w:tc>
          <w:tcPr>
            <w:tcW w:w="1860" w:type="dxa"/>
            <w:tcMar>
              <w:top w:w="0" w:type="dxa"/>
              <w:bottom w:w="0" w:type="dxa"/>
            </w:tcMar>
            <w:vAlign w:val="center"/>
          </w:tcPr>
          <w:p w14:paraId="45B9B664" w14:textId="77777777" w:rsidR="00F14EF0" w:rsidRDefault="00AB54D4">
            <w:pPr>
              <w:keepNext/>
              <w:keepLines/>
              <w:spacing w:after="0" w:line="240" w:lineRule="auto"/>
              <w:jc w:val="right"/>
            </w:pPr>
            <w:r>
              <w:rPr>
                <w:sz w:val="18"/>
              </w:rPr>
              <w:t>0,00</w:t>
            </w:r>
          </w:p>
        </w:tc>
        <w:tc>
          <w:tcPr>
            <w:tcW w:w="1860" w:type="dxa"/>
            <w:tcMar>
              <w:top w:w="0" w:type="dxa"/>
              <w:bottom w:w="0" w:type="dxa"/>
            </w:tcMar>
            <w:vAlign w:val="center"/>
          </w:tcPr>
          <w:p w14:paraId="0096E410" w14:textId="77777777" w:rsidR="00F14EF0" w:rsidRDefault="00AB54D4">
            <w:pPr>
              <w:keepNext/>
              <w:keepLines/>
              <w:spacing w:after="0" w:line="240" w:lineRule="auto"/>
              <w:jc w:val="right"/>
            </w:pPr>
            <w:r>
              <w:rPr>
                <w:sz w:val="18"/>
              </w:rPr>
              <w:t>0,00</w:t>
            </w:r>
          </w:p>
        </w:tc>
        <w:tc>
          <w:tcPr>
            <w:tcW w:w="700" w:type="dxa"/>
            <w:tcMar>
              <w:top w:w="0" w:type="dxa"/>
              <w:bottom w:w="0" w:type="dxa"/>
            </w:tcMar>
            <w:vAlign w:val="center"/>
          </w:tcPr>
          <w:p w14:paraId="37B7E319" w14:textId="77777777" w:rsidR="00F14EF0" w:rsidRDefault="00AB54D4">
            <w:pPr>
              <w:keepNext/>
              <w:keepLines/>
              <w:spacing w:after="0" w:line="240" w:lineRule="auto"/>
              <w:jc w:val="right"/>
            </w:pPr>
            <w:r>
              <w:rPr>
                <w:sz w:val="18"/>
              </w:rPr>
              <w:t>-</w:t>
            </w:r>
          </w:p>
        </w:tc>
      </w:tr>
      <w:tr w:rsidR="00F14EF0" w14:paraId="3BB43317" w14:textId="77777777">
        <w:tblPrEx>
          <w:tblCellMar>
            <w:top w:w="0" w:type="dxa"/>
            <w:bottom w:w="0" w:type="dxa"/>
          </w:tblCellMar>
        </w:tblPrEx>
        <w:trPr>
          <w:cantSplit/>
          <w:trHeight w:val="560"/>
        </w:trPr>
        <w:tc>
          <w:tcPr>
            <w:tcW w:w="700" w:type="dxa"/>
            <w:tcMar>
              <w:top w:w="0" w:type="dxa"/>
              <w:bottom w:w="0" w:type="dxa"/>
            </w:tcMar>
            <w:vAlign w:val="center"/>
          </w:tcPr>
          <w:p w14:paraId="463B484F" w14:textId="77777777" w:rsidR="00F14EF0" w:rsidRDefault="00AB54D4">
            <w:pPr>
              <w:keepNext/>
              <w:keepLines/>
              <w:spacing w:after="0" w:line="240" w:lineRule="auto"/>
            </w:pPr>
            <w:r>
              <w:rPr>
                <w:sz w:val="18"/>
              </w:rPr>
              <w:t>4</w:t>
            </w:r>
          </w:p>
        </w:tc>
        <w:tc>
          <w:tcPr>
            <w:tcW w:w="3180" w:type="dxa"/>
            <w:tcMar>
              <w:top w:w="0" w:type="dxa"/>
              <w:bottom w:w="0" w:type="dxa"/>
            </w:tcMar>
            <w:vAlign w:val="center"/>
          </w:tcPr>
          <w:p w14:paraId="6B51DEAE" w14:textId="77777777" w:rsidR="00F14EF0" w:rsidRDefault="00AB54D4">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ED8AD33" w14:textId="77777777" w:rsidR="00F14EF0" w:rsidRDefault="00AB54D4">
            <w:pPr>
              <w:keepNext/>
              <w:keepLines/>
              <w:spacing w:after="0" w:line="240" w:lineRule="auto"/>
            </w:pPr>
            <w:r>
              <w:rPr>
                <w:sz w:val="18"/>
              </w:rPr>
              <w:t>4</w:t>
            </w:r>
          </w:p>
        </w:tc>
        <w:tc>
          <w:tcPr>
            <w:tcW w:w="1860" w:type="dxa"/>
            <w:tcMar>
              <w:top w:w="0" w:type="dxa"/>
              <w:bottom w:w="0" w:type="dxa"/>
            </w:tcMar>
            <w:vAlign w:val="center"/>
          </w:tcPr>
          <w:p w14:paraId="19795E43" w14:textId="77777777" w:rsidR="00F14EF0" w:rsidRDefault="00AB54D4">
            <w:pPr>
              <w:keepNext/>
              <w:keepLines/>
              <w:spacing w:after="0" w:line="240" w:lineRule="auto"/>
              <w:jc w:val="right"/>
            </w:pPr>
            <w:r>
              <w:rPr>
                <w:sz w:val="18"/>
              </w:rPr>
              <w:t>214.246,09</w:t>
            </w:r>
          </w:p>
        </w:tc>
        <w:tc>
          <w:tcPr>
            <w:tcW w:w="1860" w:type="dxa"/>
            <w:tcMar>
              <w:top w:w="0" w:type="dxa"/>
              <w:bottom w:w="0" w:type="dxa"/>
            </w:tcMar>
            <w:vAlign w:val="center"/>
          </w:tcPr>
          <w:p w14:paraId="6021F6EC" w14:textId="77777777" w:rsidR="00F14EF0" w:rsidRDefault="00AB54D4">
            <w:pPr>
              <w:keepNext/>
              <w:keepLines/>
              <w:spacing w:after="0" w:line="240" w:lineRule="auto"/>
              <w:jc w:val="right"/>
            </w:pPr>
            <w:r>
              <w:rPr>
                <w:sz w:val="18"/>
              </w:rPr>
              <w:t>142.986,51</w:t>
            </w:r>
          </w:p>
        </w:tc>
        <w:tc>
          <w:tcPr>
            <w:tcW w:w="700" w:type="dxa"/>
            <w:tcMar>
              <w:top w:w="0" w:type="dxa"/>
              <w:bottom w:w="0" w:type="dxa"/>
            </w:tcMar>
            <w:vAlign w:val="center"/>
          </w:tcPr>
          <w:p w14:paraId="120A999F" w14:textId="77777777" w:rsidR="00F14EF0" w:rsidRDefault="00AB54D4">
            <w:pPr>
              <w:keepNext/>
              <w:keepLines/>
              <w:spacing w:after="0" w:line="240" w:lineRule="auto"/>
              <w:jc w:val="right"/>
            </w:pPr>
            <w:r>
              <w:rPr>
                <w:sz w:val="18"/>
              </w:rPr>
              <w:t>66,7</w:t>
            </w:r>
          </w:p>
        </w:tc>
      </w:tr>
      <w:tr w:rsidR="00F14EF0" w14:paraId="259A56F5" w14:textId="77777777">
        <w:tblPrEx>
          <w:tblCellMar>
            <w:top w:w="0" w:type="dxa"/>
            <w:bottom w:w="0" w:type="dxa"/>
          </w:tblCellMar>
        </w:tblPrEx>
        <w:trPr>
          <w:cantSplit/>
          <w:trHeight w:val="560"/>
        </w:trPr>
        <w:tc>
          <w:tcPr>
            <w:tcW w:w="700" w:type="dxa"/>
            <w:tcMar>
              <w:top w:w="0" w:type="dxa"/>
              <w:bottom w:w="0" w:type="dxa"/>
            </w:tcMar>
            <w:vAlign w:val="center"/>
          </w:tcPr>
          <w:p w14:paraId="0B18DA64" w14:textId="77777777" w:rsidR="00F14EF0" w:rsidRDefault="00F14EF0">
            <w:pPr>
              <w:keepNext/>
              <w:keepLines/>
              <w:spacing w:after="0" w:line="240" w:lineRule="auto"/>
            </w:pPr>
          </w:p>
        </w:tc>
        <w:tc>
          <w:tcPr>
            <w:tcW w:w="3180" w:type="dxa"/>
            <w:tcMar>
              <w:top w:w="0" w:type="dxa"/>
              <w:bottom w:w="0" w:type="dxa"/>
            </w:tcMar>
            <w:vAlign w:val="center"/>
          </w:tcPr>
          <w:p w14:paraId="537EEA6B" w14:textId="77777777" w:rsidR="00F14EF0" w:rsidRDefault="00AB54D4">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46F3FEA3" w14:textId="77777777" w:rsidR="00F14EF0" w:rsidRDefault="00AB54D4">
            <w:pPr>
              <w:keepNext/>
              <w:keepLines/>
              <w:spacing w:after="0" w:line="240" w:lineRule="auto"/>
            </w:pPr>
            <w:r>
              <w:rPr>
                <w:b/>
                <w:sz w:val="18"/>
              </w:rPr>
              <w:t>Y002</w:t>
            </w:r>
          </w:p>
        </w:tc>
        <w:tc>
          <w:tcPr>
            <w:tcW w:w="1860" w:type="dxa"/>
            <w:tcMar>
              <w:top w:w="0" w:type="dxa"/>
              <w:bottom w:w="0" w:type="dxa"/>
            </w:tcMar>
            <w:vAlign w:val="center"/>
          </w:tcPr>
          <w:p w14:paraId="197C7F0C" w14:textId="77777777" w:rsidR="00F14EF0" w:rsidRDefault="00AB54D4">
            <w:pPr>
              <w:keepNext/>
              <w:keepLines/>
              <w:spacing w:after="0" w:line="240" w:lineRule="auto"/>
              <w:jc w:val="right"/>
            </w:pPr>
            <w:r>
              <w:rPr>
                <w:b/>
                <w:sz w:val="18"/>
              </w:rPr>
              <w:t>214.246,09</w:t>
            </w:r>
          </w:p>
        </w:tc>
        <w:tc>
          <w:tcPr>
            <w:tcW w:w="1860" w:type="dxa"/>
            <w:tcMar>
              <w:top w:w="0" w:type="dxa"/>
              <w:bottom w:w="0" w:type="dxa"/>
            </w:tcMar>
            <w:vAlign w:val="center"/>
          </w:tcPr>
          <w:p w14:paraId="58229BF1" w14:textId="77777777" w:rsidR="00F14EF0" w:rsidRDefault="00AB54D4">
            <w:pPr>
              <w:keepNext/>
              <w:keepLines/>
              <w:spacing w:after="0" w:line="240" w:lineRule="auto"/>
              <w:jc w:val="right"/>
            </w:pPr>
            <w:r>
              <w:rPr>
                <w:b/>
                <w:sz w:val="18"/>
              </w:rPr>
              <w:t>142.986,51</w:t>
            </w:r>
          </w:p>
        </w:tc>
        <w:tc>
          <w:tcPr>
            <w:tcW w:w="700" w:type="dxa"/>
            <w:tcMar>
              <w:top w:w="0" w:type="dxa"/>
              <w:bottom w:w="0" w:type="dxa"/>
            </w:tcMar>
            <w:vAlign w:val="center"/>
          </w:tcPr>
          <w:p w14:paraId="42C54950" w14:textId="77777777" w:rsidR="00F14EF0" w:rsidRDefault="00AB54D4">
            <w:pPr>
              <w:keepNext/>
              <w:keepLines/>
              <w:spacing w:after="0" w:line="240" w:lineRule="auto"/>
              <w:jc w:val="right"/>
            </w:pPr>
            <w:r>
              <w:rPr>
                <w:b/>
                <w:sz w:val="18"/>
              </w:rPr>
              <w:t>66,7</w:t>
            </w:r>
          </w:p>
        </w:tc>
      </w:tr>
      <w:tr w:rsidR="00F14EF0" w14:paraId="31040BE9" w14:textId="77777777">
        <w:tblPrEx>
          <w:tblCellMar>
            <w:top w:w="0" w:type="dxa"/>
            <w:bottom w:w="0" w:type="dxa"/>
          </w:tblCellMar>
        </w:tblPrEx>
        <w:trPr>
          <w:cantSplit/>
          <w:trHeight w:val="560"/>
        </w:trPr>
        <w:tc>
          <w:tcPr>
            <w:tcW w:w="700" w:type="dxa"/>
            <w:tcMar>
              <w:top w:w="0" w:type="dxa"/>
              <w:bottom w:w="0" w:type="dxa"/>
            </w:tcMar>
            <w:vAlign w:val="center"/>
          </w:tcPr>
          <w:p w14:paraId="2D06C720" w14:textId="77777777" w:rsidR="00F14EF0" w:rsidRDefault="00AB54D4">
            <w:pPr>
              <w:keepNext/>
              <w:keepLines/>
              <w:spacing w:after="0" w:line="240" w:lineRule="auto"/>
            </w:pPr>
            <w:r>
              <w:rPr>
                <w:sz w:val="18"/>
              </w:rPr>
              <w:t>8</w:t>
            </w:r>
          </w:p>
        </w:tc>
        <w:tc>
          <w:tcPr>
            <w:tcW w:w="3180" w:type="dxa"/>
            <w:tcMar>
              <w:top w:w="0" w:type="dxa"/>
              <w:bottom w:w="0" w:type="dxa"/>
            </w:tcMar>
            <w:vAlign w:val="center"/>
          </w:tcPr>
          <w:p w14:paraId="7811F375" w14:textId="77777777" w:rsidR="00F14EF0" w:rsidRDefault="00AB54D4">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3B5D1BA" w14:textId="77777777" w:rsidR="00F14EF0" w:rsidRDefault="00AB54D4">
            <w:pPr>
              <w:keepNext/>
              <w:keepLines/>
              <w:spacing w:after="0" w:line="240" w:lineRule="auto"/>
            </w:pPr>
            <w:r>
              <w:rPr>
                <w:sz w:val="18"/>
              </w:rPr>
              <w:t>8</w:t>
            </w:r>
          </w:p>
        </w:tc>
        <w:tc>
          <w:tcPr>
            <w:tcW w:w="1860" w:type="dxa"/>
            <w:tcMar>
              <w:top w:w="0" w:type="dxa"/>
              <w:bottom w:w="0" w:type="dxa"/>
            </w:tcMar>
            <w:vAlign w:val="center"/>
          </w:tcPr>
          <w:p w14:paraId="513BC115" w14:textId="77777777" w:rsidR="00F14EF0" w:rsidRDefault="00AB54D4">
            <w:pPr>
              <w:keepNext/>
              <w:keepLines/>
              <w:spacing w:after="0" w:line="240" w:lineRule="auto"/>
              <w:jc w:val="right"/>
            </w:pPr>
            <w:r>
              <w:rPr>
                <w:sz w:val="18"/>
              </w:rPr>
              <w:t>0,00</w:t>
            </w:r>
          </w:p>
        </w:tc>
        <w:tc>
          <w:tcPr>
            <w:tcW w:w="1860" w:type="dxa"/>
            <w:tcMar>
              <w:top w:w="0" w:type="dxa"/>
              <w:bottom w:w="0" w:type="dxa"/>
            </w:tcMar>
            <w:vAlign w:val="center"/>
          </w:tcPr>
          <w:p w14:paraId="7C6B2DC6" w14:textId="77777777" w:rsidR="00F14EF0" w:rsidRDefault="00AB54D4">
            <w:pPr>
              <w:keepNext/>
              <w:keepLines/>
              <w:spacing w:after="0" w:line="240" w:lineRule="auto"/>
              <w:jc w:val="right"/>
            </w:pPr>
            <w:r>
              <w:rPr>
                <w:sz w:val="18"/>
              </w:rPr>
              <w:t>0,00</w:t>
            </w:r>
          </w:p>
        </w:tc>
        <w:tc>
          <w:tcPr>
            <w:tcW w:w="700" w:type="dxa"/>
            <w:tcMar>
              <w:top w:w="0" w:type="dxa"/>
              <w:bottom w:w="0" w:type="dxa"/>
            </w:tcMar>
            <w:vAlign w:val="center"/>
          </w:tcPr>
          <w:p w14:paraId="36C7FB64" w14:textId="77777777" w:rsidR="00F14EF0" w:rsidRDefault="00AB54D4">
            <w:pPr>
              <w:keepNext/>
              <w:keepLines/>
              <w:spacing w:after="0" w:line="240" w:lineRule="auto"/>
              <w:jc w:val="right"/>
            </w:pPr>
            <w:r>
              <w:rPr>
                <w:sz w:val="18"/>
              </w:rPr>
              <w:t>-</w:t>
            </w:r>
          </w:p>
        </w:tc>
      </w:tr>
      <w:tr w:rsidR="00F14EF0" w14:paraId="6D63D842" w14:textId="77777777">
        <w:tblPrEx>
          <w:tblCellMar>
            <w:top w:w="0" w:type="dxa"/>
            <w:bottom w:w="0" w:type="dxa"/>
          </w:tblCellMar>
        </w:tblPrEx>
        <w:trPr>
          <w:cantSplit/>
          <w:trHeight w:val="560"/>
        </w:trPr>
        <w:tc>
          <w:tcPr>
            <w:tcW w:w="700" w:type="dxa"/>
            <w:tcMar>
              <w:top w:w="0" w:type="dxa"/>
              <w:bottom w:w="0" w:type="dxa"/>
            </w:tcMar>
            <w:vAlign w:val="center"/>
          </w:tcPr>
          <w:p w14:paraId="0349C8A8" w14:textId="77777777" w:rsidR="00F14EF0" w:rsidRDefault="00AB54D4">
            <w:pPr>
              <w:keepNext/>
              <w:keepLines/>
              <w:spacing w:after="0" w:line="240" w:lineRule="auto"/>
            </w:pPr>
            <w:r>
              <w:rPr>
                <w:sz w:val="18"/>
              </w:rPr>
              <w:t>5</w:t>
            </w:r>
          </w:p>
        </w:tc>
        <w:tc>
          <w:tcPr>
            <w:tcW w:w="3180" w:type="dxa"/>
            <w:tcMar>
              <w:top w:w="0" w:type="dxa"/>
              <w:bottom w:w="0" w:type="dxa"/>
            </w:tcMar>
            <w:vAlign w:val="center"/>
          </w:tcPr>
          <w:p w14:paraId="40A394CC" w14:textId="77777777" w:rsidR="00F14EF0" w:rsidRDefault="00AB54D4">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5E901FB1" w14:textId="77777777" w:rsidR="00F14EF0" w:rsidRDefault="00AB54D4">
            <w:pPr>
              <w:keepNext/>
              <w:keepLines/>
              <w:spacing w:after="0" w:line="240" w:lineRule="auto"/>
            </w:pPr>
            <w:r>
              <w:rPr>
                <w:sz w:val="18"/>
              </w:rPr>
              <w:t>5</w:t>
            </w:r>
          </w:p>
        </w:tc>
        <w:tc>
          <w:tcPr>
            <w:tcW w:w="1860" w:type="dxa"/>
            <w:tcMar>
              <w:top w:w="0" w:type="dxa"/>
              <w:bottom w:w="0" w:type="dxa"/>
            </w:tcMar>
            <w:vAlign w:val="center"/>
          </w:tcPr>
          <w:p w14:paraId="5A1CA204" w14:textId="77777777" w:rsidR="00F14EF0" w:rsidRDefault="00AB54D4">
            <w:pPr>
              <w:keepNext/>
              <w:keepLines/>
              <w:spacing w:after="0" w:line="240" w:lineRule="auto"/>
              <w:jc w:val="right"/>
            </w:pPr>
            <w:r>
              <w:rPr>
                <w:sz w:val="18"/>
              </w:rPr>
              <w:t>0,00</w:t>
            </w:r>
          </w:p>
        </w:tc>
        <w:tc>
          <w:tcPr>
            <w:tcW w:w="1860" w:type="dxa"/>
            <w:tcMar>
              <w:top w:w="0" w:type="dxa"/>
              <w:bottom w:w="0" w:type="dxa"/>
            </w:tcMar>
            <w:vAlign w:val="center"/>
          </w:tcPr>
          <w:p w14:paraId="17804FB1" w14:textId="77777777" w:rsidR="00F14EF0" w:rsidRDefault="00AB54D4">
            <w:pPr>
              <w:keepNext/>
              <w:keepLines/>
              <w:spacing w:after="0" w:line="240" w:lineRule="auto"/>
              <w:jc w:val="right"/>
            </w:pPr>
            <w:r>
              <w:rPr>
                <w:sz w:val="18"/>
              </w:rPr>
              <w:t>0,00</w:t>
            </w:r>
          </w:p>
        </w:tc>
        <w:tc>
          <w:tcPr>
            <w:tcW w:w="700" w:type="dxa"/>
            <w:tcMar>
              <w:top w:w="0" w:type="dxa"/>
              <w:bottom w:w="0" w:type="dxa"/>
            </w:tcMar>
            <w:vAlign w:val="center"/>
          </w:tcPr>
          <w:p w14:paraId="307E03C8" w14:textId="77777777" w:rsidR="00F14EF0" w:rsidRDefault="00AB54D4">
            <w:pPr>
              <w:keepNext/>
              <w:keepLines/>
              <w:spacing w:after="0" w:line="240" w:lineRule="auto"/>
              <w:jc w:val="right"/>
            </w:pPr>
            <w:r>
              <w:rPr>
                <w:sz w:val="18"/>
              </w:rPr>
              <w:t>-</w:t>
            </w:r>
          </w:p>
        </w:tc>
      </w:tr>
      <w:tr w:rsidR="00F14EF0" w14:paraId="3CE19367" w14:textId="77777777">
        <w:tblPrEx>
          <w:tblCellMar>
            <w:top w:w="0" w:type="dxa"/>
            <w:bottom w:w="0" w:type="dxa"/>
          </w:tblCellMar>
        </w:tblPrEx>
        <w:trPr>
          <w:cantSplit/>
          <w:trHeight w:val="560"/>
        </w:trPr>
        <w:tc>
          <w:tcPr>
            <w:tcW w:w="700" w:type="dxa"/>
            <w:tcMar>
              <w:top w:w="0" w:type="dxa"/>
              <w:bottom w:w="0" w:type="dxa"/>
            </w:tcMar>
            <w:vAlign w:val="center"/>
          </w:tcPr>
          <w:p w14:paraId="2A6C5C8E" w14:textId="77777777" w:rsidR="00F14EF0" w:rsidRDefault="00F14EF0">
            <w:pPr>
              <w:keepNext/>
              <w:keepLines/>
              <w:spacing w:after="0" w:line="240" w:lineRule="auto"/>
            </w:pPr>
          </w:p>
        </w:tc>
        <w:tc>
          <w:tcPr>
            <w:tcW w:w="3180" w:type="dxa"/>
            <w:tcMar>
              <w:top w:w="0" w:type="dxa"/>
              <w:bottom w:w="0" w:type="dxa"/>
            </w:tcMar>
            <w:vAlign w:val="center"/>
          </w:tcPr>
          <w:p w14:paraId="1A2781BD" w14:textId="77777777" w:rsidR="00F14EF0" w:rsidRDefault="00AB54D4">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78A8F471" w14:textId="77777777" w:rsidR="00F14EF0" w:rsidRDefault="00AB54D4">
            <w:pPr>
              <w:keepNext/>
              <w:keepLines/>
              <w:spacing w:after="0" w:line="240" w:lineRule="auto"/>
            </w:pPr>
            <w:r>
              <w:rPr>
                <w:b/>
                <w:sz w:val="18"/>
              </w:rPr>
              <w:t>X003, Y003</w:t>
            </w:r>
          </w:p>
        </w:tc>
        <w:tc>
          <w:tcPr>
            <w:tcW w:w="1860" w:type="dxa"/>
            <w:tcMar>
              <w:top w:w="0" w:type="dxa"/>
              <w:bottom w:w="0" w:type="dxa"/>
            </w:tcMar>
            <w:vAlign w:val="center"/>
          </w:tcPr>
          <w:p w14:paraId="04B68984" w14:textId="77777777" w:rsidR="00F14EF0" w:rsidRDefault="00AB54D4">
            <w:pPr>
              <w:keepNext/>
              <w:keepLines/>
              <w:spacing w:after="0" w:line="240" w:lineRule="auto"/>
              <w:jc w:val="right"/>
            </w:pPr>
            <w:r>
              <w:rPr>
                <w:b/>
                <w:sz w:val="18"/>
              </w:rPr>
              <w:t>0,00</w:t>
            </w:r>
          </w:p>
        </w:tc>
        <w:tc>
          <w:tcPr>
            <w:tcW w:w="1860" w:type="dxa"/>
            <w:tcMar>
              <w:top w:w="0" w:type="dxa"/>
              <w:bottom w:w="0" w:type="dxa"/>
            </w:tcMar>
            <w:vAlign w:val="center"/>
          </w:tcPr>
          <w:p w14:paraId="69C6472C" w14:textId="77777777" w:rsidR="00F14EF0" w:rsidRDefault="00AB54D4">
            <w:pPr>
              <w:keepNext/>
              <w:keepLines/>
              <w:spacing w:after="0" w:line="240" w:lineRule="auto"/>
              <w:jc w:val="right"/>
            </w:pPr>
            <w:r>
              <w:rPr>
                <w:b/>
                <w:sz w:val="18"/>
              </w:rPr>
              <w:t>0,00</w:t>
            </w:r>
          </w:p>
        </w:tc>
        <w:tc>
          <w:tcPr>
            <w:tcW w:w="700" w:type="dxa"/>
            <w:tcMar>
              <w:top w:w="0" w:type="dxa"/>
              <w:bottom w:w="0" w:type="dxa"/>
            </w:tcMar>
            <w:vAlign w:val="center"/>
          </w:tcPr>
          <w:p w14:paraId="76A541FE" w14:textId="77777777" w:rsidR="00F14EF0" w:rsidRDefault="00AB54D4">
            <w:pPr>
              <w:keepNext/>
              <w:keepLines/>
              <w:spacing w:after="0" w:line="240" w:lineRule="auto"/>
              <w:jc w:val="right"/>
            </w:pPr>
            <w:r>
              <w:rPr>
                <w:b/>
                <w:sz w:val="18"/>
              </w:rPr>
              <w:t>-</w:t>
            </w:r>
          </w:p>
        </w:tc>
      </w:tr>
      <w:tr w:rsidR="00F14EF0" w14:paraId="35C49D46" w14:textId="77777777">
        <w:tblPrEx>
          <w:tblCellMar>
            <w:top w:w="0" w:type="dxa"/>
            <w:bottom w:w="0" w:type="dxa"/>
          </w:tblCellMar>
        </w:tblPrEx>
        <w:trPr>
          <w:cantSplit/>
          <w:trHeight w:val="560"/>
        </w:trPr>
        <w:tc>
          <w:tcPr>
            <w:tcW w:w="700" w:type="dxa"/>
            <w:tcMar>
              <w:top w:w="0" w:type="dxa"/>
              <w:bottom w:w="0" w:type="dxa"/>
            </w:tcMar>
            <w:vAlign w:val="center"/>
          </w:tcPr>
          <w:p w14:paraId="34E0A013" w14:textId="77777777" w:rsidR="00F14EF0" w:rsidRDefault="00F14EF0">
            <w:pPr>
              <w:keepNext/>
              <w:keepLines/>
              <w:spacing w:after="0" w:line="240" w:lineRule="auto"/>
            </w:pPr>
          </w:p>
        </w:tc>
        <w:tc>
          <w:tcPr>
            <w:tcW w:w="3180" w:type="dxa"/>
            <w:tcMar>
              <w:top w:w="0" w:type="dxa"/>
              <w:bottom w:w="0" w:type="dxa"/>
            </w:tcMar>
            <w:vAlign w:val="center"/>
          </w:tcPr>
          <w:p w14:paraId="2869C196" w14:textId="77777777" w:rsidR="00F14EF0" w:rsidRDefault="00AB54D4">
            <w:pPr>
              <w:keepNext/>
              <w:keepLines/>
              <w:spacing w:after="0" w:line="240" w:lineRule="auto"/>
            </w:pPr>
            <w:r>
              <w:rPr>
                <w:b/>
                <w:sz w:val="18"/>
              </w:rPr>
              <w:t>MANJAK PRIHODA I PRIMITAKA (šifre Y345-X678)</w:t>
            </w:r>
          </w:p>
        </w:tc>
        <w:tc>
          <w:tcPr>
            <w:tcW w:w="700" w:type="dxa"/>
            <w:tcMar>
              <w:top w:w="0" w:type="dxa"/>
              <w:bottom w:w="0" w:type="dxa"/>
            </w:tcMar>
            <w:vAlign w:val="center"/>
          </w:tcPr>
          <w:p w14:paraId="7C34524F" w14:textId="77777777" w:rsidR="00F14EF0" w:rsidRDefault="00AB54D4">
            <w:pPr>
              <w:keepNext/>
              <w:keepLines/>
              <w:spacing w:after="0" w:line="240" w:lineRule="auto"/>
            </w:pPr>
            <w:r>
              <w:rPr>
                <w:b/>
                <w:sz w:val="18"/>
              </w:rPr>
              <w:t>Y005</w:t>
            </w:r>
          </w:p>
        </w:tc>
        <w:tc>
          <w:tcPr>
            <w:tcW w:w="1860" w:type="dxa"/>
            <w:tcMar>
              <w:top w:w="0" w:type="dxa"/>
              <w:bottom w:w="0" w:type="dxa"/>
            </w:tcMar>
            <w:vAlign w:val="center"/>
          </w:tcPr>
          <w:p w14:paraId="7E469117" w14:textId="77777777" w:rsidR="00F14EF0" w:rsidRDefault="00AB54D4">
            <w:pPr>
              <w:keepNext/>
              <w:keepLines/>
              <w:spacing w:after="0" w:line="240" w:lineRule="auto"/>
              <w:jc w:val="right"/>
            </w:pPr>
            <w:r>
              <w:rPr>
                <w:b/>
                <w:sz w:val="18"/>
              </w:rPr>
              <w:t>0,00</w:t>
            </w:r>
          </w:p>
        </w:tc>
        <w:tc>
          <w:tcPr>
            <w:tcW w:w="1860" w:type="dxa"/>
            <w:tcMar>
              <w:top w:w="0" w:type="dxa"/>
              <w:bottom w:w="0" w:type="dxa"/>
            </w:tcMar>
            <w:vAlign w:val="center"/>
          </w:tcPr>
          <w:p w14:paraId="74390AE0" w14:textId="77777777" w:rsidR="00F14EF0" w:rsidRDefault="00AB54D4">
            <w:pPr>
              <w:keepNext/>
              <w:keepLines/>
              <w:spacing w:after="0" w:line="240" w:lineRule="auto"/>
              <w:jc w:val="right"/>
            </w:pPr>
            <w:r>
              <w:rPr>
                <w:b/>
                <w:sz w:val="18"/>
              </w:rPr>
              <w:t>492.578,89</w:t>
            </w:r>
          </w:p>
        </w:tc>
        <w:tc>
          <w:tcPr>
            <w:tcW w:w="700" w:type="dxa"/>
            <w:tcMar>
              <w:top w:w="0" w:type="dxa"/>
              <w:bottom w:w="0" w:type="dxa"/>
            </w:tcMar>
            <w:vAlign w:val="center"/>
          </w:tcPr>
          <w:p w14:paraId="4B632664" w14:textId="77777777" w:rsidR="00F14EF0" w:rsidRDefault="00AB54D4">
            <w:pPr>
              <w:keepNext/>
              <w:keepLines/>
              <w:spacing w:after="0" w:line="240" w:lineRule="auto"/>
              <w:jc w:val="right"/>
            </w:pPr>
            <w:r>
              <w:rPr>
                <w:b/>
                <w:sz w:val="18"/>
              </w:rPr>
              <w:t>-</w:t>
            </w:r>
          </w:p>
        </w:tc>
      </w:tr>
    </w:tbl>
    <w:p w14:paraId="52D26331" w14:textId="77777777" w:rsidR="00F14EF0" w:rsidRDefault="00F14EF0">
      <w:pPr>
        <w:spacing w:after="0"/>
      </w:pPr>
    </w:p>
    <w:p w14:paraId="6C3423B1" w14:textId="77777777" w:rsidR="00F14EF0" w:rsidRDefault="00AB54D4">
      <w:r>
        <w:t xml:space="preserve">Prihodi poslovanja u 2025. godini povećani su za 26% dok su rashodi poslovanja povećani za oko 34 % u odnosu na isto razdoblje prošle godine. Rezultat je to kasnijeg potpisivanja ugovora o </w:t>
      </w:r>
      <w:r>
        <w:lastRenderedPageBreak/>
        <w:t>dodjeli bespovratnih sradstava u 2024. godini koji je rezultirao intezivnijim projektnim aktivnostima u 2025. godini.</w:t>
      </w:r>
    </w:p>
    <w:p w14:paraId="274A35CA" w14:textId="77777777" w:rsidR="00F14EF0" w:rsidRDefault="00AB54D4">
      <w:r>
        <w:t>Također, promjena računovodstvene evidencije EU sredstava od 1. siječnja 2025. godine, a sukladno Uputi za računovodstveno evidentiranje sredstava Europske unije iz svibnja 2025. godine izdane od strane Ministarstva financija, utjecala je na ostvareni manjak prihoda i primitaka. Do 31.12.2024. godine prihodi su se priznavali po obračunskoj osnovi, dok se od 1. siječnja 2025. godine priznaju po modificiranom načelu nastanka događaja.</w:t>
      </w:r>
    </w:p>
    <w:p w14:paraId="64FE3CDB" w14:textId="77777777" w:rsidR="00F14EF0" w:rsidRDefault="00AB54D4">
      <w:r>
        <w:br/>
      </w:r>
    </w:p>
    <w:p w14:paraId="0871796D" w14:textId="77777777" w:rsidR="00F14EF0" w:rsidRDefault="00AB54D4">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4EF0" w14:paraId="060AFFE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4BF23D" w14:textId="77777777" w:rsidR="00F14EF0" w:rsidRDefault="00AB54D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098C501" w14:textId="77777777" w:rsidR="00F14EF0" w:rsidRDefault="00AB54D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CAB611" w14:textId="77777777" w:rsidR="00F14EF0" w:rsidRDefault="00AB54D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B78A03" w14:textId="77777777" w:rsidR="00F14EF0" w:rsidRDefault="00AB54D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3654C8" w14:textId="77777777" w:rsidR="00F14EF0" w:rsidRDefault="00AB54D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5F3F44" w14:textId="77777777" w:rsidR="00F14EF0" w:rsidRDefault="00AB54D4">
            <w:pPr>
              <w:keepNext/>
              <w:keepLines/>
              <w:spacing w:after="0" w:line="240" w:lineRule="auto"/>
              <w:jc w:val="center"/>
            </w:pPr>
            <w:r>
              <w:rPr>
                <w:b/>
                <w:sz w:val="18"/>
              </w:rPr>
              <w:t>Indeks (%)</w:t>
            </w:r>
          </w:p>
        </w:tc>
      </w:tr>
      <w:tr w:rsidR="00F14EF0" w14:paraId="00728F7E" w14:textId="77777777">
        <w:tblPrEx>
          <w:tblCellMar>
            <w:top w:w="0" w:type="dxa"/>
            <w:bottom w:w="0" w:type="dxa"/>
          </w:tblCellMar>
        </w:tblPrEx>
        <w:trPr>
          <w:cantSplit/>
          <w:trHeight w:val="560"/>
        </w:trPr>
        <w:tc>
          <w:tcPr>
            <w:tcW w:w="700" w:type="dxa"/>
            <w:tcMar>
              <w:top w:w="0" w:type="dxa"/>
              <w:bottom w:w="0" w:type="dxa"/>
            </w:tcMar>
            <w:vAlign w:val="center"/>
          </w:tcPr>
          <w:p w14:paraId="6F07FF7B" w14:textId="77777777" w:rsidR="00F14EF0" w:rsidRDefault="00AB54D4">
            <w:pPr>
              <w:keepNext/>
              <w:keepLines/>
              <w:spacing w:after="0" w:line="240" w:lineRule="auto"/>
            </w:pPr>
            <w:r>
              <w:rPr>
                <w:sz w:val="18"/>
              </w:rPr>
              <w:t>6</w:t>
            </w:r>
          </w:p>
        </w:tc>
        <w:tc>
          <w:tcPr>
            <w:tcW w:w="3180" w:type="dxa"/>
            <w:tcMar>
              <w:top w:w="0" w:type="dxa"/>
              <w:bottom w:w="0" w:type="dxa"/>
            </w:tcMar>
            <w:vAlign w:val="center"/>
          </w:tcPr>
          <w:p w14:paraId="20E1053A" w14:textId="77777777" w:rsidR="00F14EF0" w:rsidRDefault="00AB54D4">
            <w:pPr>
              <w:keepNext/>
              <w:keepLines/>
              <w:spacing w:after="0" w:line="240" w:lineRule="auto"/>
            </w:pPr>
            <w:r>
              <w:rPr>
                <w:sz w:val="18"/>
              </w:rPr>
              <w:t>PRIHODI POSLOVANJA (šifre 61+62+63+64+65+66+67+68)</w:t>
            </w:r>
          </w:p>
        </w:tc>
        <w:tc>
          <w:tcPr>
            <w:tcW w:w="700" w:type="dxa"/>
            <w:tcMar>
              <w:top w:w="0" w:type="dxa"/>
              <w:bottom w:w="0" w:type="dxa"/>
            </w:tcMar>
            <w:vAlign w:val="center"/>
          </w:tcPr>
          <w:p w14:paraId="73923924" w14:textId="77777777" w:rsidR="00F14EF0" w:rsidRDefault="00AB54D4">
            <w:pPr>
              <w:keepNext/>
              <w:keepLines/>
              <w:spacing w:after="0" w:line="240" w:lineRule="auto"/>
            </w:pPr>
            <w:r>
              <w:rPr>
                <w:sz w:val="18"/>
              </w:rPr>
              <w:t>6</w:t>
            </w:r>
          </w:p>
        </w:tc>
        <w:tc>
          <w:tcPr>
            <w:tcW w:w="1860" w:type="dxa"/>
            <w:tcMar>
              <w:top w:w="0" w:type="dxa"/>
              <w:bottom w:w="0" w:type="dxa"/>
            </w:tcMar>
            <w:vAlign w:val="center"/>
          </w:tcPr>
          <w:p w14:paraId="4BA70753" w14:textId="77777777" w:rsidR="00F14EF0" w:rsidRDefault="00AB54D4">
            <w:pPr>
              <w:keepNext/>
              <w:keepLines/>
              <w:spacing w:after="0" w:line="240" w:lineRule="auto"/>
              <w:jc w:val="right"/>
            </w:pPr>
            <w:r>
              <w:rPr>
                <w:sz w:val="18"/>
              </w:rPr>
              <w:t>9.829.742,33</w:t>
            </w:r>
          </w:p>
        </w:tc>
        <w:tc>
          <w:tcPr>
            <w:tcW w:w="1860" w:type="dxa"/>
            <w:tcMar>
              <w:top w:w="0" w:type="dxa"/>
              <w:bottom w:w="0" w:type="dxa"/>
            </w:tcMar>
            <w:vAlign w:val="center"/>
          </w:tcPr>
          <w:p w14:paraId="61D0CEB2" w14:textId="77777777" w:rsidR="00F14EF0" w:rsidRDefault="00AB54D4">
            <w:pPr>
              <w:keepNext/>
              <w:keepLines/>
              <w:spacing w:after="0" w:line="240" w:lineRule="auto"/>
              <w:jc w:val="right"/>
            </w:pPr>
            <w:r>
              <w:rPr>
                <w:sz w:val="18"/>
              </w:rPr>
              <w:t>12.422.596,09</w:t>
            </w:r>
          </w:p>
        </w:tc>
        <w:tc>
          <w:tcPr>
            <w:tcW w:w="700" w:type="dxa"/>
            <w:tcMar>
              <w:top w:w="0" w:type="dxa"/>
              <w:bottom w:w="0" w:type="dxa"/>
            </w:tcMar>
            <w:vAlign w:val="center"/>
          </w:tcPr>
          <w:p w14:paraId="229670D0" w14:textId="77777777" w:rsidR="00F14EF0" w:rsidRDefault="00AB54D4">
            <w:pPr>
              <w:keepNext/>
              <w:keepLines/>
              <w:spacing w:after="0" w:line="240" w:lineRule="auto"/>
              <w:jc w:val="right"/>
            </w:pPr>
            <w:r>
              <w:rPr>
                <w:sz w:val="18"/>
              </w:rPr>
              <w:t>126,4</w:t>
            </w:r>
          </w:p>
        </w:tc>
      </w:tr>
    </w:tbl>
    <w:p w14:paraId="45F78387" w14:textId="77777777" w:rsidR="00F14EF0" w:rsidRDefault="00F14EF0">
      <w:pPr>
        <w:spacing w:after="0"/>
      </w:pPr>
    </w:p>
    <w:p w14:paraId="437DB912" w14:textId="77777777" w:rsidR="00F14EF0" w:rsidRDefault="00AB54D4">
      <w:r>
        <w:t>Ostvareni prihodi u 2025. godini veći su u odnosu na 2024. godinu radi povećanja dinamike projektnih aktivnosti, a kao posljedica kasnijeg potpisivanja ugovora o dodjeli bespovratnih sredstava.</w:t>
      </w:r>
    </w:p>
    <w:p w14:paraId="4931C37A" w14:textId="77777777" w:rsidR="00F14EF0" w:rsidRDefault="00F14EF0"/>
    <w:p w14:paraId="1524F44B" w14:textId="77777777" w:rsidR="00F14EF0" w:rsidRDefault="00AB54D4">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4EF0" w14:paraId="18ADAD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BC93F9" w14:textId="77777777" w:rsidR="00F14EF0" w:rsidRDefault="00AB54D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E85902B" w14:textId="77777777" w:rsidR="00F14EF0" w:rsidRDefault="00AB54D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F8C439" w14:textId="77777777" w:rsidR="00F14EF0" w:rsidRDefault="00AB54D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8C8943" w14:textId="77777777" w:rsidR="00F14EF0" w:rsidRDefault="00AB54D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7A9EE9" w14:textId="77777777" w:rsidR="00F14EF0" w:rsidRDefault="00AB54D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2F4D1A" w14:textId="77777777" w:rsidR="00F14EF0" w:rsidRDefault="00AB54D4">
            <w:pPr>
              <w:keepNext/>
              <w:keepLines/>
              <w:spacing w:after="0" w:line="240" w:lineRule="auto"/>
              <w:jc w:val="center"/>
            </w:pPr>
            <w:r>
              <w:rPr>
                <w:b/>
                <w:sz w:val="18"/>
              </w:rPr>
              <w:t>Indeks (%)</w:t>
            </w:r>
          </w:p>
        </w:tc>
      </w:tr>
      <w:tr w:rsidR="00F14EF0" w14:paraId="44A5E9D2" w14:textId="77777777">
        <w:tblPrEx>
          <w:tblCellMar>
            <w:top w:w="0" w:type="dxa"/>
            <w:bottom w:w="0" w:type="dxa"/>
          </w:tblCellMar>
        </w:tblPrEx>
        <w:trPr>
          <w:cantSplit/>
          <w:trHeight w:val="560"/>
        </w:trPr>
        <w:tc>
          <w:tcPr>
            <w:tcW w:w="700" w:type="dxa"/>
            <w:tcMar>
              <w:top w:w="0" w:type="dxa"/>
              <w:bottom w:w="0" w:type="dxa"/>
            </w:tcMar>
            <w:vAlign w:val="center"/>
          </w:tcPr>
          <w:p w14:paraId="59D46D97" w14:textId="77777777" w:rsidR="00F14EF0" w:rsidRDefault="00AB54D4">
            <w:pPr>
              <w:keepNext/>
              <w:keepLines/>
              <w:spacing w:after="0" w:line="240" w:lineRule="auto"/>
            </w:pPr>
            <w:r>
              <w:rPr>
                <w:sz w:val="18"/>
              </w:rPr>
              <w:t>31</w:t>
            </w:r>
          </w:p>
        </w:tc>
        <w:tc>
          <w:tcPr>
            <w:tcW w:w="3180" w:type="dxa"/>
            <w:tcMar>
              <w:top w:w="0" w:type="dxa"/>
              <w:bottom w:w="0" w:type="dxa"/>
            </w:tcMar>
            <w:vAlign w:val="center"/>
          </w:tcPr>
          <w:p w14:paraId="457D1797" w14:textId="77777777" w:rsidR="00F14EF0" w:rsidRDefault="00AB54D4">
            <w:pPr>
              <w:keepNext/>
              <w:keepLines/>
              <w:spacing w:after="0" w:line="240" w:lineRule="auto"/>
            </w:pPr>
            <w:r>
              <w:rPr>
                <w:sz w:val="18"/>
              </w:rPr>
              <w:t>Rashodi za zaposlene (šifre 311+312+313)</w:t>
            </w:r>
          </w:p>
        </w:tc>
        <w:tc>
          <w:tcPr>
            <w:tcW w:w="700" w:type="dxa"/>
            <w:tcMar>
              <w:top w:w="0" w:type="dxa"/>
              <w:bottom w:w="0" w:type="dxa"/>
            </w:tcMar>
            <w:vAlign w:val="center"/>
          </w:tcPr>
          <w:p w14:paraId="6AFEDE9C" w14:textId="77777777" w:rsidR="00F14EF0" w:rsidRDefault="00AB54D4">
            <w:pPr>
              <w:keepNext/>
              <w:keepLines/>
              <w:spacing w:after="0" w:line="240" w:lineRule="auto"/>
            </w:pPr>
            <w:r>
              <w:rPr>
                <w:sz w:val="18"/>
              </w:rPr>
              <w:t>31</w:t>
            </w:r>
          </w:p>
        </w:tc>
        <w:tc>
          <w:tcPr>
            <w:tcW w:w="1860" w:type="dxa"/>
            <w:tcMar>
              <w:top w:w="0" w:type="dxa"/>
              <w:bottom w:w="0" w:type="dxa"/>
            </w:tcMar>
            <w:vAlign w:val="center"/>
          </w:tcPr>
          <w:p w14:paraId="4EAEEFF2" w14:textId="77777777" w:rsidR="00F14EF0" w:rsidRDefault="00AB54D4">
            <w:pPr>
              <w:keepNext/>
              <w:keepLines/>
              <w:spacing w:after="0" w:line="240" w:lineRule="auto"/>
              <w:jc w:val="right"/>
            </w:pPr>
            <w:r>
              <w:rPr>
                <w:sz w:val="18"/>
              </w:rPr>
              <w:t>4.873.096,59</w:t>
            </w:r>
          </w:p>
        </w:tc>
        <w:tc>
          <w:tcPr>
            <w:tcW w:w="1860" w:type="dxa"/>
            <w:tcMar>
              <w:top w:w="0" w:type="dxa"/>
              <w:bottom w:w="0" w:type="dxa"/>
            </w:tcMar>
            <w:vAlign w:val="center"/>
          </w:tcPr>
          <w:p w14:paraId="2837F8B2" w14:textId="77777777" w:rsidR="00F14EF0" w:rsidRDefault="00AB54D4">
            <w:pPr>
              <w:keepNext/>
              <w:keepLines/>
              <w:spacing w:after="0" w:line="240" w:lineRule="auto"/>
              <w:jc w:val="right"/>
            </w:pPr>
            <w:r>
              <w:rPr>
                <w:sz w:val="18"/>
              </w:rPr>
              <w:t>6.092.589,54</w:t>
            </w:r>
          </w:p>
        </w:tc>
        <w:tc>
          <w:tcPr>
            <w:tcW w:w="700" w:type="dxa"/>
            <w:tcMar>
              <w:top w:w="0" w:type="dxa"/>
              <w:bottom w:w="0" w:type="dxa"/>
            </w:tcMar>
            <w:vAlign w:val="center"/>
          </w:tcPr>
          <w:p w14:paraId="064CA015" w14:textId="77777777" w:rsidR="00F14EF0" w:rsidRDefault="00AB54D4">
            <w:pPr>
              <w:keepNext/>
              <w:keepLines/>
              <w:spacing w:after="0" w:line="240" w:lineRule="auto"/>
              <w:jc w:val="right"/>
            </w:pPr>
            <w:r>
              <w:rPr>
                <w:sz w:val="18"/>
              </w:rPr>
              <w:t>125,0</w:t>
            </w:r>
          </w:p>
        </w:tc>
      </w:tr>
    </w:tbl>
    <w:p w14:paraId="2C07ECDD" w14:textId="77777777" w:rsidR="00F14EF0" w:rsidRDefault="00F14EF0">
      <w:pPr>
        <w:spacing w:after="0"/>
      </w:pPr>
    </w:p>
    <w:p w14:paraId="4716B061" w14:textId="77777777" w:rsidR="00F14EF0" w:rsidRDefault="00AB54D4">
      <w:r>
        <w:t>Rashodi za zaposlene povećani su radi povećanja osnovice za izračun plaća sukladno Odluci o visini osnovice za obračun plaće u javnim službama u 2025. godini (NN 155/2024) te radi ukidanja podskupine 193-Kontinuirani rashodi budućih razdoblja od 1. siječnja 2025. godine.</w:t>
      </w:r>
    </w:p>
    <w:p w14:paraId="4C7947C3" w14:textId="77777777" w:rsidR="00F14EF0" w:rsidRDefault="00F14EF0"/>
    <w:p w14:paraId="63C2EB77" w14:textId="77777777" w:rsidR="00F14EF0" w:rsidRDefault="00AB54D4">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4EF0" w14:paraId="539958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D01616" w14:textId="77777777" w:rsidR="00F14EF0" w:rsidRDefault="00AB54D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4EC2C60" w14:textId="77777777" w:rsidR="00F14EF0" w:rsidRDefault="00AB54D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6F254F" w14:textId="77777777" w:rsidR="00F14EF0" w:rsidRDefault="00AB54D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F717A6" w14:textId="77777777" w:rsidR="00F14EF0" w:rsidRDefault="00AB54D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530DE0" w14:textId="77777777" w:rsidR="00F14EF0" w:rsidRDefault="00AB54D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482AA9" w14:textId="77777777" w:rsidR="00F14EF0" w:rsidRDefault="00AB54D4">
            <w:pPr>
              <w:keepNext/>
              <w:keepLines/>
              <w:spacing w:after="0" w:line="240" w:lineRule="auto"/>
              <w:jc w:val="center"/>
            </w:pPr>
            <w:r>
              <w:rPr>
                <w:b/>
                <w:sz w:val="18"/>
              </w:rPr>
              <w:t>Indeks (%)</w:t>
            </w:r>
          </w:p>
        </w:tc>
      </w:tr>
      <w:tr w:rsidR="00F14EF0" w14:paraId="714C25A0" w14:textId="77777777">
        <w:tblPrEx>
          <w:tblCellMar>
            <w:top w:w="0" w:type="dxa"/>
            <w:bottom w:w="0" w:type="dxa"/>
          </w:tblCellMar>
        </w:tblPrEx>
        <w:trPr>
          <w:cantSplit/>
          <w:trHeight w:val="560"/>
        </w:trPr>
        <w:tc>
          <w:tcPr>
            <w:tcW w:w="700" w:type="dxa"/>
            <w:tcMar>
              <w:top w:w="0" w:type="dxa"/>
              <w:bottom w:w="0" w:type="dxa"/>
            </w:tcMar>
            <w:vAlign w:val="center"/>
          </w:tcPr>
          <w:p w14:paraId="3CE629A8" w14:textId="77777777" w:rsidR="00F14EF0" w:rsidRDefault="00AB54D4">
            <w:pPr>
              <w:keepNext/>
              <w:keepLines/>
              <w:spacing w:after="0" w:line="240" w:lineRule="auto"/>
            </w:pPr>
            <w:r>
              <w:rPr>
                <w:sz w:val="18"/>
              </w:rPr>
              <w:t>3224</w:t>
            </w:r>
          </w:p>
        </w:tc>
        <w:tc>
          <w:tcPr>
            <w:tcW w:w="3180" w:type="dxa"/>
            <w:tcMar>
              <w:top w:w="0" w:type="dxa"/>
              <w:bottom w:w="0" w:type="dxa"/>
            </w:tcMar>
            <w:vAlign w:val="center"/>
          </w:tcPr>
          <w:p w14:paraId="64D8DA1C" w14:textId="77777777" w:rsidR="00F14EF0" w:rsidRDefault="00AB54D4">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6E345A55" w14:textId="77777777" w:rsidR="00F14EF0" w:rsidRDefault="00AB54D4">
            <w:pPr>
              <w:keepNext/>
              <w:keepLines/>
              <w:spacing w:after="0" w:line="240" w:lineRule="auto"/>
            </w:pPr>
            <w:r>
              <w:rPr>
                <w:sz w:val="18"/>
              </w:rPr>
              <w:t>3224</w:t>
            </w:r>
          </w:p>
        </w:tc>
        <w:tc>
          <w:tcPr>
            <w:tcW w:w="1860" w:type="dxa"/>
            <w:tcMar>
              <w:top w:w="0" w:type="dxa"/>
              <w:bottom w:w="0" w:type="dxa"/>
            </w:tcMar>
            <w:vAlign w:val="center"/>
          </w:tcPr>
          <w:p w14:paraId="697A59E0" w14:textId="77777777" w:rsidR="00F14EF0" w:rsidRDefault="00AB54D4">
            <w:pPr>
              <w:keepNext/>
              <w:keepLines/>
              <w:spacing w:after="0" w:line="240" w:lineRule="auto"/>
              <w:jc w:val="right"/>
            </w:pPr>
            <w:r>
              <w:rPr>
                <w:sz w:val="18"/>
              </w:rPr>
              <w:t>923,33</w:t>
            </w:r>
          </w:p>
        </w:tc>
        <w:tc>
          <w:tcPr>
            <w:tcW w:w="1860" w:type="dxa"/>
            <w:tcMar>
              <w:top w:w="0" w:type="dxa"/>
              <w:bottom w:w="0" w:type="dxa"/>
            </w:tcMar>
            <w:vAlign w:val="center"/>
          </w:tcPr>
          <w:p w14:paraId="15D6CEE7" w14:textId="77777777" w:rsidR="00F14EF0" w:rsidRDefault="00AB54D4">
            <w:pPr>
              <w:keepNext/>
              <w:keepLines/>
              <w:spacing w:after="0" w:line="240" w:lineRule="auto"/>
              <w:jc w:val="right"/>
            </w:pPr>
            <w:r>
              <w:rPr>
                <w:sz w:val="18"/>
              </w:rPr>
              <w:t>1.608,79</w:t>
            </w:r>
          </w:p>
        </w:tc>
        <w:tc>
          <w:tcPr>
            <w:tcW w:w="700" w:type="dxa"/>
            <w:tcMar>
              <w:top w:w="0" w:type="dxa"/>
              <w:bottom w:w="0" w:type="dxa"/>
            </w:tcMar>
            <w:vAlign w:val="center"/>
          </w:tcPr>
          <w:p w14:paraId="6CCC364D" w14:textId="77777777" w:rsidR="00F14EF0" w:rsidRDefault="00AB54D4">
            <w:pPr>
              <w:keepNext/>
              <w:keepLines/>
              <w:spacing w:after="0" w:line="240" w:lineRule="auto"/>
              <w:jc w:val="right"/>
            </w:pPr>
            <w:r>
              <w:rPr>
                <w:sz w:val="18"/>
              </w:rPr>
              <w:t>174,2</w:t>
            </w:r>
          </w:p>
        </w:tc>
      </w:tr>
    </w:tbl>
    <w:p w14:paraId="114C5C7F" w14:textId="77777777" w:rsidR="00F14EF0" w:rsidRDefault="00F14EF0">
      <w:pPr>
        <w:spacing w:after="0"/>
      </w:pPr>
    </w:p>
    <w:p w14:paraId="398520DF" w14:textId="77777777" w:rsidR="00F14EF0" w:rsidRDefault="00AB54D4">
      <w:r>
        <w:lastRenderedPageBreak/>
        <w:t>Povećanje na ovoj stavci odnosi se na na nabavu dijelova za investicijsko održavanje postojeće opreme.</w:t>
      </w:r>
    </w:p>
    <w:p w14:paraId="434ACF59" w14:textId="77777777" w:rsidR="00F14EF0" w:rsidRDefault="00F14EF0"/>
    <w:p w14:paraId="280155FC" w14:textId="77777777" w:rsidR="00F14EF0" w:rsidRDefault="00AB54D4">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4EF0" w14:paraId="16E101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4C776B" w14:textId="77777777" w:rsidR="00F14EF0" w:rsidRDefault="00AB54D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E8E19AA" w14:textId="77777777" w:rsidR="00F14EF0" w:rsidRDefault="00AB54D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7B67C6" w14:textId="77777777" w:rsidR="00F14EF0" w:rsidRDefault="00AB54D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48E8AD" w14:textId="77777777" w:rsidR="00F14EF0" w:rsidRDefault="00AB54D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131535" w14:textId="77777777" w:rsidR="00F14EF0" w:rsidRDefault="00AB54D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215C5C" w14:textId="77777777" w:rsidR="00F14EF0" w:rsidRDefault="00AB54D4">
            <w:pPr>
              <w:keepNext/>
              <w:keepLines/>
              <w:spacing w:after="0" w:line="240" w:lineRule="auto"/>
              <w:jc w:val="center"/>
            </w:pPr>
            <w:r>
              <w:rPr>
                <w:b/>
                <w:sz w:val="18"/>
              </w:rPr>
              <w:t>Indeks (%)</w:t>
            </w:r>
          </w:p>
        </w:tc>
      </w:tr>
      <w:tr w:rsidR="00F14EF0" w14:paraId="626A5DEB" w14:textId="77777777">
        <w:tblPrEx>
          <w:tblCellMar>
            <w:top w:w="0" w:type="dxa"/>
            <w:bottom w:w="0" w:type="dxa"/>
          </w:tblCellMar>
        </w:tblPrEx>
        <w:trPr>
          <w:cantSplit/>
          <w:trHeight w:val="560"/>
        </w:trPr>
        <w:tc>
          <w:tcPr>
            <w:tcW w:w="700" w:type="dxa"/>
            <w:tcMar>
              <w:top w:w="0" w:type="dxa"/>
              <w:bottom w:w="0" w:type="dxa"/>
            </w:tcMar>
            <w:vAlign w:val="center"/>
          </w:tcPr>
          <w:p w14:paraId="510546AD" w14:textId="77777777" w:rsidR="00F14EF0" w:rsidRDefault="00AB54D4">
            <w:pPr>
              <w:keepNext/>
              <w:keepLines/>
              <w:spacing w:after="0" w:line="240" w:lineRule="auto"/>
            </w:pPr>
            <w:r>
              <w:rPr>
                <w:sz w:val="18"/>
              </w:rPr>
              <w:t>3225</w:t>
            </w:r>
          </w:p>
        </w:tc>
        <w:tc>
          <w:tcPr>
            <w:tcW w:w="3180" w:type="dxa"/>
            <w:tcMar>
              <w:top w:w="0" w:type="dxa"/>
              <w:bottom w:w="0" w:type="dxa"/>
            </w:tcMar>
            <w:vAlign w:val="center"/>
          </w:tcPr>
          <w:p w14:paraId="52754D7D" w14:textId="77777777" w:rsidR="00F14EF0" w:rsidRDefault="00AB54D4">
            <w:pPr>
              <w:keepNext/>
              <w:keepLines/>
              <w:spacing w:after="0" w:line="240" w:lineRule="auto"/>
            </w:pPr>
            <w:r>
              <w:rPr>
                <w:sz w:val="18"/>
              </w:rPr>
              <w:t>Sitni inventar i autogume</w:t>
            </w:r>
          </w:p>
        </w:tc>
        <w:tc>
          <w:tcPr>
            <w:tcW w:w="700" w:type="dxa"/>
            <w:tcMar>
              <w:top w:w="0" w:type="dxa"/>
              <w:bottom w:w="0" w:type="dxa"/>
            </w:tcMar>
            <w:vAlign w:val="center"/>
          </w:tcPr>
          <w:p w14:paraId="792A8ACD" w14:textId="77777777" w:rsidR="00F14EF0" w:rsidRDefault="00AB54D4">
            <w:pPr>
              <w:keepNext/>
              <w:keepLines/>
              <w:spacing w:after="0" w:line="240" w:lineRule="auto"/>
            </w:pPr>
            <w:r>
              <w:rPr>
                <w:sz w:val="18"/>
              </w:rPr>
              <w:t>3225</w:t>
            </w:r>
          </w:p>
        </w:tc>
        <w:tc>
          <w:tcPr>
            <w:tcW w:w="1860" w:type="dxa"/>
            <w:tcMar>
              <w:top w:w="0" w:type="dxa"/>
              <w:bottom w:w="0" w:type="dxa"/>
            </w:tcMar>
            <w:vAlign w:val="center"/>
          </w:tcPr>
          <w:p w14:paraId="701BC4DE" w14:textId="77777777" w:rsidR="00F14EF0" w:rsidRDefault="00AB54D4">
            <w:pPr>
              <w:keepNext/>
              <w:keepLines/>
              <w:spacing w:after="0" w:line="240" w:lineRule="auto"/>
              <w:jc w:val="right"/>
            </w:pPr>
            <w:r>
              <w:rPr>
                <w:sz w:val="18"/>
              </w:rPr>
              <w:t>3.226,45</w:t>
            </w:r>
          </w:p>
        </w:tc>
        <w:tc>
          <w:tcPr>
            <w:tcW w:w="1860" w:type="dxa"/>
            <w:tcMar>
              <w:top w:w="0" w:type="dxa"/>
              <w:bottom w:w="0" w:type="dxa"/>
            </w:tcMar>
            <w:vAlign w:val="center"/>
          </w:tcPr>
          <w:p w14:paraId="745C7627" w14:textId="77777777" w:rsidR="00F14EF0" w:rsidRDefault="00AB54D4">
            <w:pPr>
              <w:keepNext/>
              <w:keepLines/>
              <w:spacing w:after="0" w:line="240" w:lineRule="auto"/>
              <w:jc w:val="right"/>
            </w:pPr>
            <w:r>
              <w:rPr>
                <w:sz w:val="18"/>
              </w:rPr>
              <w:t>1.635,35</w:t>
            </w:r>
          </w:p>
        </w:tc>
        <w:tc>
          <w:tcPr>
            <w:tcW w:w="700" w:type="dxa"/>
            <w:tcMar>
              <w:top w:w="0" w:type="dxa"/>
              <w:bottom w:w="0" w:type="dxa"/>
            </w:tcMar>
            <w:vAlign w:val="center"/>
          </w:tcPr>
          <w:p w14:paraId="1A2D999A" w14:textId="77777777" w:rsidR="00F14EF0" w:rsidRDefault="00AB54D4">
            <w:pPr>
              <w:keepNext/>
              <w:keepLines/>
              <w:spacing w:after="0" w:line="240" w:lineRule="auto"/>
              <w:jc w:val="right"/>
            </w:pPr>
            <w:r>
              <w:rPr>
                <w:sz w:val="18"/>
              </w:rPr>
              <w:t>50,7</w:t>
            </w:r>
          </w:p>
        </w:tc>
      </w:tr>
    </w:tbl>
    <w:p w14:paraId="25A1EA52" w14:textId="77777777" w:rsidR="00F14EF0" w:rsidRDefault="00F14EF0">
      <w:pPr>
        <w:spacing w:after="0"/>
      </w:pPr>
    </w:p>
    <w:p w14:paraId="4FA71F7C" w14:textId="77777777" w:rsidR="00F14EF0" w:rsidRDefault="00AB54D4">
      <w:r>
        <w:t>Smanjenje troškova na ovoj stavci rezultat je nabave dotrajalih auto guma na automobilima u vlasništvu Agencije za strukovno obrazovanje i obrazovanje odraslih u 2024. godini</w:t>
      </w:r>
    </w:p>
    <w:p w14:paraId="596FADC3" w14:textId="77777777" w:rsidR="00F14EF0" w:rsidRDefault="00F14EF0"/>
    <w:p w14:paraId="2C6A0A40" w14:textId="77777777" w:rsidR="00F14EF0" w:rsidRDefault="00AB54D4">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4EF0" w14:paraId="0AF7A4D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180F1D" w14:textId="77777777" w:rsidR="00F14EF0" w:rsidRDefault="00AB54D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508D1E1" w14:textId="77777777" w:rsidR="00F14EF0" w:rsidRDefault="00AB54D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6898CE" w14:textId="77777777" w:rsidR="00F14EF0" w:rsidRDefault="00AB54D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BAD82D" w14:textId="77777777" w:rsidR="00F14EF0" w:rsidRDefault="00AB54D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03F8CE" w14:textId="77777777" w:rsidR="00F14EF0" w:rsidRDefault="00AB54D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6CFB75" w14:textId="77777777" w:rsidR="00F14EF0" w:rsidRDefault="00AB54D4">
            <w:pPr>
              <w:keepNext/>
              <w:keepLines/>
              <w:spacing w:after="0" w:line="240" w:lineRule="auto"/>
              <w:jc w:val="center"/>
            </w:pPr>
            <w:r>
              <w:rPr>
                <w:b/>
                <w:sz w:val="18"/>
              </w:rPr>
              <w:t>Indeks (%)</w:t>
            </w:r>
          </w:p>
        </w:tc>
      </w:tr>
      <w:tr w:rsidR="00F14EF0" w14:paraId="2604F8A3" w14:textId="77777777">
        <w:tblPrEx>
          <w:tblCellMar>
            <w:top w:w="0" w:type="dxa"/>
            <w:bottom w:w="0" w:type="dxa"/>
          </w:tblCellMar>
        </w:tblPrEx>
        <w:trPr>
          <w:cantSplit/>
          <w:trHeight w:val="560"/>
        </w:trPr>
        <w:tc>
          <w:tcPr>
            <w:tcW w:w="700" w:type="dxa"/>
            <w:tcMar>
              <w:top w:w="0" w:type="dxa"/>
              <w:bottom w:w="0" w:type="dxa"/>
            </w:tcMar>
            <w:vAlign w:val="center"/>
          </w:tcPr>
          <w:p w14:paraId="597B0D04" w14:textId="77777777" w:rsidR="00F14EF0" w:rsidRDefault="00AB54D4">
            <w:pPr>
              <w:keepNext/>
              <w:keepLines/>
              <w:spacing w:after="0" w:line="240" w:lineRule="auto"/>
            </w:pPr>
            <w:r>
              <w:rPr>
                <w:sz w:val="18"/>
              </w:rPr>
              <w:t>3235</w:t>
            </w:r>
          </w:p>
        </w:tc>
        <w:tc>
          <w:tcPr>
            <w:tcW w:w="3180" w:type="dxa"/>
            <w:tcMar>
              <w:top w:w="0" w:type="dxa"/>
              <w:bottom w:w="0" w:type="dxa"/>
            </w:tcMar>
            <w:vAlign w:val="center"/>
          </w:tcPr>
          <w:p w14:paraId="60AF2E8A" w14:textId="77777777" w:rsidR="00F14EF0" w:rsidRDefault="00AB54D4">
            <w:pPr>
              <w:keepNext/>
              <w:keepLines/>
              <w:spacing w:after="0" w:line="240" w:lineRule="auto"/>
            </w:pPr>
            <w:r>
              <w:rPr>
                <w:sz w:val="18"/>
              </w:rPr>
              <w:t>Zakupnine i najamnine</w:t>
            </w:r>
          </w:p>
        </w:tc>
        <w:tc>
          <w:tcPr>
            <w:tcW w:w="700" w:type="dxa"/>
            <w:tcMar>
              <w:top w:w="0" w:type="dxa"/>
              <w:bottom w:w="0" w:type="dxa"/>
            </w:tcMar>
            <w:vAlign w:val="center"/>
          </w:tcPr>
          <w:p w14:paraId="3B99470A" w14:textId="77777777" w:rsidR="00F14EF0" w:rsidRDefault="00AB54D4">
            <w:pPr>
              <w:keepNext/>
              <w:keepLines/>
              <w:spacing w:after="0" w:line="240" w:lineRule="auto"/>
            </w:pPr>
            <w:r>
              <w:rPr>
                <w:sz w:val="18"/>
              </w:rPr>
              <w:t>3235</w:t>
            </w:r>
          </w:p>
        </w:tc>
        <w:tc>
          <w:tcPr>
            <w:tcW w:w="1860" w:type="dxa"/>
            <w:tcMar>
              <w:top w:w="0" w:type="dxa"/>
              <w:bottom w:w="0" w:type="dxa"/>
            </w:tcMar>
            <w:vAlign w:val="center"/>
          </w:tcPr>
          <w:p w14:paraId="02471B7C" w14:textId="77777777" w:rsidR="00F14EF0" w:rsidRDefault="00AB54D4">
            <w:pPr>
              <w:keepNext/>
              <w:keepLines/>
              <w:spacing w:after="0" w:line="240" w:lineRule="auto"/>
              <w:jc w:val="right"/>
            </w:pPr>
            <w:r>
              <w:rPr>
                <w:sz w:val="18"/>
              </w:rPr>
              <w:t>862.073,71</w:t>
            </w:r>
          </w:p>
        </w:tc>
        <w:tc>
          <w:tcPr>
            <w:tcW w:w="1860" w:type="dxa"/>
            <w:tcMar>
              <w:top w:w="0" w:type="dxa"/>
              <w:bottom w:w="0" w:type="dxa"/>
            </w:tcMar>
            <w:vAlign w:val="center"/>
          </w:tcPr>
          <w:p w14:paraId="7CF61725" w14:textId="77777777" w:rsidR="00F14EF0" w:rsidRDefault="00AB54D4">
            <w:pPr>
              <w:keepNext/>
              <w:keepLines/>
              <w:spacing w:after="0" w:line="240" w:lineRule="auto"/>
              <w:jc w:val="right"/>
            </w:pPr>
            <w:r>
              <w:rPr>
                <w:sz w:val="18"/>
              </w:rPr>
              <w:t>1.261.743,01</w:t>
            </w:r>
          </w:p>
        </w:tc>
        <w:tc>
          <w:tcPr>
            <w:tcW w:w="700" w:type="dxa"/>
            <w:tcMar>
              <w:top w:w="0" w:type="dxa"/>
              <w:bottom w:w="0" w:type="dxa"/>
            </w:tcMar>
            <w:vAlign w:val="center"/>
          </w:tcPr>
          <w:p w14:paraId="07E2E201" w14:textId="77777777" w:rsidR="00F14EF0" w:rsidRDefault="00AB54D4">
            <w:pPr>
              <w:keepNext/>
              <w:keepLines/>
              <w:spacing w:after="0" w:line="240" w:lineRule="auto"/>
              <w:jc w:val="right"/>
            </w:pPr>
            <w:r>
              <w:rPr>
                <w:sz w:val="18"/>
              </w:rPr>
              <w:t>146,4</w:t>
            </w:r>
          </w:p>
        </w:tc>
      </w:tr>
    </w:tbl>
    <w:p w14:paraId="27C34881" w14:textId="77777777" w:rsidR="00F14EF0" w:rsidRDefault="00F14EF0">
      <w:pPr>
        <w:spacing w:after="0"/>
      </w:pPr>
    </w:p>
    <w:p w14:paraId="09C134B0" w14:textId="77777777" w:rsidR="00F14EF0" w:rsidRDefault="00AB54D4">
      <w:r>
        <w:t xml:space="preserve">Povećanje u odnosu na prošlu godinu rezultat je povećanog broja održavanja stručnih skupova, konferencija i natjecanja radi organizacije Državnog natjecanja učenika strukovnih škola </w:t>
      </w:r>
      <w:r>
        <w:rPr>
          <w:i/>
        </w:rPr>
        <w:t>WorldSkills Croatia</w:t>
      </w:r>
      <w:r>
        <w:t>, a i same dinamike cijena na tržištu.</w:t>
      </w:r>
    </w:p>
    <w:p w14:paraId="540F03C7" w14:textId="77777777" w:rsidR="00F14EF0" w:rsidRDefault="00F14EF0"/>
    <w:p w14:paraId="5F10B9D7" w14:textId="77777777" w:rsidR="00F14EF0" w:rsidRDefault="00AB54D4">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4EF0" w14:paraId="79F5AA7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B65110" w14:textId="77777777" w:rsidR="00F14EF0" w:rsidRDefault="00AB54D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509221" w14:textId="77777777" w:rsidR="00F14EF0" w:rsidRDefault="00AB54D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02C220" w14:textId="77777777" w:rsidR="00F14EF0" w:rsidRDefault="00AB54D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DDF9B3" w14:textId="77777777" w:rsidR="00F14EF0" w:rsidRDefault="00AB54D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C12B15" w14:textId="77777777" w:rsidR="00F14EF0" w:rsidRDefault="00AB54D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9EA390" w14:textId="77777777" w:rsidR="00F14EF0" w:rsidRDefault="00AB54D4">
            <w:pPr>
              <w:keepNext/>
              <w:keepLines/>
              <w:spacing w:after="0" w:line="240" w:lineRule="auto"/>
              <w:jc w:val="center"/>
            </w:pPr>
            <w:r>
              <w:rPr>
                <w:b/>
                <w:sz w:val="18"/>
              </w:rPr>
              <w:t>Indeks (%)</w:t>
            </w:r>
          </w:p>
        </w:tc>
      </w:tr>
      <w:tr w:rsidR="00F14EF0" w14:paraId="49E777F2" w14:textId="77777777">
        <w:tblPrEx>
          <w:tblCellMar>
            <w:top w:w="0" w:type="dxa"/>
            <w:bottom w:w="0" w:type="dxa"/>
          </w:tblCellMar>
        </w:tblPrEx>
        <w:trPr>
          <w:cantSplit/>
          <w:trHeight w:val="560"/>
        </w:trPr>
        <w:tc>
          <w:tcPr>
            <w:tcW w:w="700" w:type="dxa"/>
            <w:tcMar>
              <w:top w:w="0" w:type="dxa"/>
              <w:bottom w:w="0" w:type="dxa"/>
            </w:tcMar>
            <w:vAlign w:val="center"/>
          </w:tcPr>
          <w:p w14:paraId="6099B1CE" w14:textId="77777777" w:rsidR="00F14EF0" w:rsidRDefault="00AB54D4">
            <w:pPr>
              <w:keepNext/>
              <w:keepLines/>
              <w:spacing w:after="0" w:line="240" w:lineRule="auto"/>
            </w:pPr>
            <w:r>
              <w:rPr>
                <w:sz w:val="18"/>
              </w:rPr>
              <w:t>3236</w:t>
            </w:r>
          </w:p>
        </w:tc>
        <w:tc>
          <w:tcPr>
            <w:tcW w:w="3180" w:type="dxa"/>
            <w:tcMar>
              <w:top w:w="0" w:type="dxa"/>
              <w:bottom w:w="0" w:type="dxa"/>
            </w:tcMar>
            <w:vAlign w:val="center"/>
          </w:tcPr>
          <w:p w14:paraId="0347218D" w14:textId="77777777" w:rsidR="00F14EF0" w:rsidRDefault="00AB54D4">
            <w:pPr>
              <w:keepNext/>
              <w:keepLines/>
              <w:spacing w:after="0" w:line="240" w:lineRule="auto"/>
            </w:pPr>
            <w:r>
              <w:rPr>
                <w:sz w:val="18"/>
              </w:rPr>
              <w:t>Zdravstvene i veterinarske usluge</w:t>
            </w:r>
          </w:p>
        </w:tc>
        <w:tc>
          <w:tcPr>
            <w:tcW w:w="700" w:type="dxa"/>
            <w:tcMar>
              <w:top w:w="0" w:type="dxa"/>
              <w:bottom w:w="0" w:type="dxa"/>
            </w:tcMar>
            <w:vAlign w:val="center"/>
          </w:tcPr>
          <w:p w14:paraId="5ADEDF69" w14:textId="77777777" w:rsidR="00F14EF0" w:rsidRDefault="00AB54D4">
            <w:pPr>
              <w:keepNext/>
              <w:keepLines/>
              <w:spacing w:after="0" w:line="240" w:lineRule="auto"/>
            </w:pPr>
            <w:r>
              <w:rPr>
                <w:sz w:val="18"/>
              </w:rPr>
              <w:t>3236</w:t>
            </w:r>
          </w:p>
        </w:tc>
        <w:tc>
          <w:tcPr>
            <w:tcW w:w="1860" w:type="dxa"/>
            <w:tcMar>
              <w:top w:w="0" w:type="dxa"/>
              <w:bottom w:w="0" w:type="dxa"/>
            </w:tcMar>
            <w:vAlign w:val="center"/>
          </w:tcPr>
          <w:p w14:paraId="332D9A09" w14:textId="77777777" w:rsidR="00F14EF0" w:rsidRDefault="00AB54D4">
            <w:pPr>
              <w:keepNext/>
              <w:keepLines/>
              <w:spacing w:after="0" w:line="240" w:lineRule="auto"/>
              <w:jc w:val="right"/>
            </w:pPr>
            <w:r>
              <w:rPr>
                <w:sz w:val="18"/>
              </w:rPr>
              <w:t>213,66</w:t>
            </w:r>
          </w:p>
        </w:tc>
        <w:tc>
          <w:tcPr>
            <w:tcW w:w="1860" w:type="dxa"/>
            <w:tcMar>
              <w:top w:w="0" w:type="dxa"/>
              <w:bottom w:w="0" w:type="dxa"/>
            </w:tcMar>
            <w:vAlign w:val="center"/>
          </w:tcPr>
          <w:p w14:paraId="777B2268" w14:textId="77777777" w:rsidR="00F14EF0" w:rsidRDefault="00AB54D4">
            <w:pPr>
              <w:keepNext/>
              <w:keepLines/>
              <w:spacing w:after="0" w:line="240" w:lineRule="auto"/>
              <w:jc w:val="right"/>
            </w:pPr>
            <w:r>
              <w:rPr>
                <w:sz w:val="18"/>
              </w:rPr>
              <w:t>5.608,74</w:t>
            </w:r>
          </w:p>
        </w:tc>
        <w:tc>
          <w:tcPr>
            <w:tcW w:w="700" w:type="dxa"/>
            <w:tcMar>
              <w:top w:w="0" w:type="dxa"/>
              <w:bottom w:w="0" w:type="dxa"/>
            </w:tcMar>
            <w:vAlign w:val="center"/>
          </w:tcPr>
          <w:p w14:paraId="49E3F980" w14:textId="77777777" w:rsidR="00F14EF0" w:rsidRDefault="00AB54D4">
            <w:pPr>
              <w:keepNext/>
              <w:keepLines/>
              <w:spacing w:after="0" w:line="240" w:lineRule="auto"/>
              <w:jc w:val="right"/>
            </w:pPr>
            <w:r>
              <w:rPr>
                <w:sz w:val="18"/>
              </w:rPr>
              <w:t>2625,1</w:t>
            </w:r>
          </w:p>
        </w:tc>
      </w:tr>
    </w:tbl>
    <w:p w14:paraId="4FF14D97" w14:textId="77777777" w:rsidR="00F14EF0" w:rsidRDefault="00F14EF0">
      <w:pPr>
        <w:spacing w:after="0"/>
      </w:pPr>
    </w:p>
    <w:p w14:paraId="773A690D" w14:textId="77777777" w:rsidR="00F14EF0" w:rsidRDefault="00AB54D4">
      <w:r>
        <w:t>Provođenje sistematskih pregleda zaposlenika starijih od 50. godina, a sukladno Temeljnom kolektivnom ugovoru za službenike i namještenike u javnim službama, utjecalo je na povećanje ove stavke u odnosu na 2024. godinu.</w:t>
      </w:r>
    </w:p>
    <w:p w14:paraId="16DD17B4" w14:textId="77777777" w:rsidR="00F14EF0" w:rsidRDefault="00F14EF0"/>
    <w:p w14:paraId="3AE31128" w14:textId="77777777" w:rsidR="00F14EF0" w:rsidRDefault="00AB54D4">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4EF0" w14:paraId="169AD6D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161149" w14:textId="77777777" w:rsidR="00F14EF0" w:rsidRDefault="00AB54D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DA1EA9F" w14:textId="77777777" w:rsidR="00F14EF0" w:rsidRDefault="00AB54D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B2AC14" w14:textId="77777777" w:rsidR="00F14EF0" w:rsidRDefault="00AB54D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805EB1" w14:textId="77777777" w:rsidR="00F14EF0" w:rsidRDefault="00AB54D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BDADED" w14:textId="77777777" w:rsidR="00F14EF0" w:rsidRDefault="00AB54D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C64039" w14:textId="77777777" w:rsidR="00F14EF0" w:rsidRDefault="00AB54D4">
            <w:pPr>
              <w:keepNext/>
              <w:keepLines/>
              <w:spacing w:after="0" w:line="240" w:lineRule="auto"/>
              <w:jc w:val="center"/>
            </w:pPr>
            <w:r>
              <w:rPr>
                <w:b/>
                <w:sz w:val="18"/>
              </w:rPr>
              <w:t>Indeks (%)</w:t>
            </w:r>
          </w:p>
        </w:tc>
      </w:tr>
      <w:tr w:rsidR="00F14EF0" w14:paraId="53A6A09A" w14:textId="77777777">
        <w:tblPrEx>
          <w:tblCellMar>
            <w:top w:w="0" w:type="dxa"/>
            <w:bottom w:w="0" w:type="dxa"/>
          </w:tblCellMar>
        </w:tblPrEx>
        <w:trPr>
          <w:cantSplit/>
          <w:trHeight w:val="560"/>
        </w:trPr>
        <w:tc>
          <w:tcPr>
            <w:tcW w:w="700" w:type="dxa"/>
            <w:tcMar>
              <w:top w:w="0" w:type="dxa"/>
              <w:bottom w:w="0" w:type="dxa"/>
            </w:tcMar>
            <w:vAlign w:val="center"/>
          </w:tcPr>
          <w:p w14:paraId="4D3029E7" w14:textId="77777777" w:rsidR="00F14EF0" w:rsidRDefault="00AB54D4">
            <w:pPr>
              <w:keepNext/>
              <w:keepLines/>
              <w:spacing w:after="0" w:line="240" w:lineRule="auto"/>
            </w:pPr>
            <w:r>
              <w:rPr>
                <w:sz w:val="18"/>
              </w:rPr>
              <w:t>3237</w:t>
            </w:r>
          </w:p>
        </w:tc>
        <w:tc>
          <w:tcPr>
            <w:tcW w:w="3180" w:type="dxa"/>
            <w:tcMar>
              <w:top w:w="0" w:type="dxa"/>
              <w:bottom w:w="0" w:type="dxa"/>
            </w:tcMar>
            <w:vAlign w:val="center"/>
          </w:tcPr>
          <w:p w14:paraId="4BC4672C" w14:textId="77777777" w:rsidR="00F14EF0" w:rsidRDefault="00AB54D4">
            <w:pPr>
              <w:keepNext/>
              <w:keepLines/>
              <w:spacing w:after="0" w:line="240" w:lineRule="auto"/>
            </w:pPr>
            <w:r>
              <w:rPr>
                <w:sz w:val="18"/>
              </w:rPr>
              <w:t>Intelektualne i osobne usluge</w:t>
            </w:r>
          </w:p>
        </w:tc>
        <w:tc>
          <w:tcPr>
            <w:tcW w:w="700" w:type="dxa"/>
            <w:tcMar>
              <w:top w:w="0" w:type="dxa"/>
              <w:bottom w:w="0" w:type="dxa"/>
            </w:tcMar>
            <w:vAlign w:val="center"/>
          </w:tcPr>
          <w:p w14:paraId="48B6DE2C" w14:textId="77777777" w:rsidR="00F14EF0" w:rsidRDefault="00AB54D4">
            <w:pPr>
              <w:keepNext/>
              <w:keepLines/>
              <w:spacing w:after="0" w:line="240" w:lineRule="auto"/>
            </w:pPr>
            <w:r>
              <w:rPr>
                <w:sz w:val="18"/>
              </w:rPr>
              <w:t>3237</w:t>
            </w:r>
          </w:p>
        </w:tc>
        <w:tc>
          <w:tcPr>
            <w:tcW w:w="1860" w:type="dxa"/>
            <w:tcMar>
              <w:top w:w="0" w:type="dxa"/>
              <w:bottom w:w="0" w:type="dxa"/>
            </w:tcMar>
            <w:vAlign w:val="center"/>
          </w:tcPr>
          <w:p w14:paraId="2A7619FF" w14:textId="77777777" w:rsidR="00F14EF0" w:rsidRDefault="00AB54D4">
            <w:pPr>
              <w:keepNext/>
              <w:keepLines/>
              <w:spacing w:after="0" w:line="240" w:lineRule="auto"/>
              <w:jc w:val="right"/>
            </w:pPr>
            <w:r>
              <w:rPr>
                <w:sz w:val="18"/>
              </w:rPr>
              <w:t>931.815,96</w:t>
            </w:r>
          </w:p>
        </w:tc>
        <w:tc>
          <w:tcPr>
            <w:tcW w:w="1860" w:type="dxa"/>
            <w:tcMar>
              <w:top w:w="0" w:type="dxa"/>
              <w:bottom w:w="0" w:type="dxa"/>
            </w:tcMar>
            <w:vAlign w:val="center"/>
          </w:tcPr>
          <w:p w14:paraId="0FD02794" w14:textId="77777777" w:rsidR="00F14EF0" w:rsidRDefault="00AB54D4">
            <w:pPr>
              <w:keepNext/>
              <w:keepLines/>
              <w:spacing w:after="0" w:line="240" w:lineRule="auto"/>
              <w:jc w:val="right"/>
            </w:pPr>
            <w:r>
              <w:rPr>
                <w:sz w:val="18"/>
              </w:rPr>
              <w:t>2.116.642,78</w:t>
            </w:r>
          </w:p>
        </w:tc>
        <w:tc>
          <w:tcPr>
            <w:tcW w:w="700" w:type="dxa"/>
            <w:tcMar>
              <w:top w:w="0" w:type="dxa"/>
              <w:bottom w:w="0" w:type="dxa"/>
            </w:tcMar>
            <w:vAlign w:val="center"/>
          </w:tcPr>
          <w:p w14:paraId="3F8B075F" w14:textId="77777777" w:rsidR="00F14EF0" w:rsidRDefault="00AB54D4">
            <w:pPr>
              <w:keepNext/>
              <w:keepLines/>
              <w:spacing w:after="0" w:line="240" w:lineRule="auto"/>
              <w:jc w:val="right"/>
            </w:pPr>
            <w:r>
              <w:rPr>
                <w:sz w:val="18"/>
              </w:rPr>
              <w:t>227,2</w:t>
            </w:r>
          </w:p>
        </w:tc>
      </w:tr>
    </w:tbl>
    <w:p w14:paraId="3A6C0CA9" w14:textId="77777777" w:rsidR="00F14EF0" w:rsidRDefault="00F14EF0">
      <w:pPr>
        <w:spacing w:after="0"/>
      </w:pPr>
    </w:p>
    <w:p w14:paraId="5E2E8BA1" w14:textId="77777777" w:rsidR="00F14EF0" w:rsidRDefault="00AB54D4">
      <w:r>
        <w:t>Kasnije potpisivanje ugovora o dodjeli bespovratnih sredstava u 2024. godini te činjenica da su projektne aktivnosti aktivno započele početkom 2025. godine rezultat su većeg nesrazmjera troškova u ovom razdoblju.</w:t>
      </w:r>
    </w:p>
    <w:p w14:paraId="3AAF9055" w14:textId="77777777" w:rsidR="00F14EF0" w:rsidRDefault="00F14EF0"/>
    <w:p w14:paraId="7C40D57B" w14:textId="77777777" w:rsidR="00F14EF0" w:rsidRDefault="00AB54D4">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4EF0" w14:paraId="7CF926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4AD042" w14:textId="77777777" w:rsidR="00F14EF0" w:rsidRDefault="00AB54D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24687D" w14:textId="77777777" w:rsidR="00F14EF0" w:rsidRDefault="00AB54D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C96E8F" w14:textId="77777777" w:rsidR="00F14EF0" w:rsidRDefault="00AB54D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A33433" w14:textId="77777777" w:rsidR="00F14EF0" w:rsidRDefault="00AB54D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16509D" w14:textId="77777777" w:rsidR="00F14EF0" w:rsidRDefault="00AB54D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1F4078" w14:textId="77777777" w:rsidR="00F14EF0" w:rsidRDefault="00AB54D4">
            <w:pPr>
              <w:keepNext/>
              <w:keepLines/>
              <w:spacing w:after="0" w:line="240" w:lineRule="auto"/>
              <w:jc w:val="center"/>
            </w:pPr>
            <w:r>
              <w:rPr>
                <w:b/>
                <w:sz w:val="18"/>
              </w:rPr>
              <w:t>Indeks (%)</w:t>
            </w:r>
          </w:p>
        </w:tc>
      </w:tr>
      <w:tr w:rsidR="00F14EF0" w14:paraId="6A88FA2D" w14:textId="77777777">
        <w:tblPrEx>
          <w:tblCellMar>
            <w:top w:w="0" w:type="dxa"/>
            <w:bottom w:w="0" w:type="dxa"/>
          </w:tblCellMar>
        </w:tblPrEx>
        <w:trPr>
          <w:cantSplit/>
          <w:trHeight w:val="560"/>
        </w:trPr>
        <w:tc>
          <w:tcPr>
            <w:tcW w:w="700" w:type="dxa"/>
            <w:tcMar>
              <w:top w:w="0" w:type="dxa"/>
              <w:bottom w:w="0" w:type="dxa"/>
            </w:tcMar>
            <w:vAlign w:val="center"/>
          </w:tcPr>
          <w:p w14:paraId="7D4A5761" w14:textId="77777777" w:rsidR="00F14EF0" w:rsidRDefault="00AB54D4">
            <w:pPr>
              <w:keepNext/>
              <w:keepLines/>
              <w:spacing w:after="0" w:line="240" w:lineRule="auto"/>
            </w:pPr>
            <w:r>
              <w:rPr>
                <w:sz w:val="18"/>
              </w:rPr>
              <w:t>3238</w:t>
            </w:r>
          </w:p>
        </w:tc>
        <w:tc>
          <w:tcPr>
            <w:tcW w:w="3180" w:type="dxa"/>
            <w:tcMar>
              <w:top w:w="0" w:type="dxa"/>
              <w:bottom w:w="0" w:type="dxa"/>
            </w:tcMar>
            <w:vAlign w:val="center"/>
          </w:tcPr>
          <w:p w14:paraId="28070D11" w14:textId="77777777" w:rsidR="00F14EF0" w:rsidRDefault="00AB54D4">
            <w:pPr>
              <w:keepNext/>
              <w:keepLines/>
              <w:spacing w:after="0" w:line="240" w:lineRule="auto"/>
            </w:pPr>
            <w:r>
              <w:rPr>
                <w:sz w:val="18"/>
              </w:rPr>
              <w:t>Računalne usluge</w:t>
            </w:r>
          </w:p>
        </w:tc>
        <w:tc>
          <w:tcPr>
            <w:tcW w:w="700" w:type="dxa"/>
            <w:tcMar>
              <w:top w:w="0" w:type="dxa"/>
              <w:bottom w:w="0" w:type="dxa"/>
            </w:tcMar>
            <w:vAlign w:val="center"/>
          </w:tcPr>
          <w:p w14:paraId="318CFD26" w14:textId="77777777" w:rsidR="00F14EF0" w:rsidRDefault="00AB54D4">
            <w:pPr>
              <w:keepNext/>
              <w:keepLines/>
              <w:spacing w:after="0" w:line="240" w:lineRule="auto"/>
            </w:pPr>
            <w:r>
              <w:rPr>
                <w:sz w:val="18"/>
              </w:rPr>
              <w:t>3238</w:t>
            </w:r>
          </w:p>
        </w:tc>
        <w:tc>
          <w:tcPr>
            <w:tcW w:w="1860" w:type="dxa"/>
            <w:tcMar>
              <w:top w:w="0" w:type="dxa"/>
              <w:bottom w:w="0" w:type="dxa"/>
            </w:tcMar>
            <w:vAlign w:val="center"/>
          </w:tcPr>
          <w:p w14:paraId="08D86895" w14:textId="77777777" w:rsidR="00F14EF0" w:rsidRDefault="00AB54D4">
            <w:pPr>
              <w:keepNext/>
              <w:keepLines/>
              <w:spacing w:after="0" w:line="240" w:lineRule="auto"/>
              <w:jc w:val="right"/>
            </w:pPr>
            <w:r>
              <w:rPr>
                <w:sz w:val="18"/>
              </w:rPr>
              <w:t>101.976,48</w:t>
            </w:r>
          </w:p>
        </w:tc>
        <w:tc>
          <w:tcPr>
            <w:tcW w:w="1860" w:type="dxa"/>
            <w:tcMar>
              <w:top w:w="0" w:type="dxa"/>
              <w:bottom w:w="0" w:type="dxa"/>
            </w:tcMar>
            <w:vAlign w:val="center"/>
          </w:tcPr>
          <w:p w14:paraId="7130E46F" w14:textId="77777777" w:rsidR="00F14EF0" w:rsidRDefault="00AB54D4">
            <w:pPr>
              <w:keepNext/>
              <w:keepLines/>
              <w:spacing w:after="0" w:line="240" w:lineRule="auto"/>
              <w:jc w:val="right"/>
            </w:pPr>
            <w:r>
              <w:rPr>
                <w:sz w:val="18"/>
              </w:rPr>
              <w:t>371.542,99</w:t>
            </w:r>
          </w:p>
        </w:tc>
        <w:tc>
          <w:tcPr>
            <w:tcW w:w="700" w:type="dxa"/>
            <w:tcMar>
              <w:top w:w="0" w:type="dxa"/>
              <w:bottom w:w="0" w:type="dxa"/>
            </w:tcMar>
            <w:vAlign w:val="center"/>
          </w:tcPr>
          <w:p w14:paraId="7BB85B06" w14:textId="77777777" w:rsidR="00F14EF0" w:rsidRDefault="00AB54D4">
            <w:pPr>
              <w:keepNext/>
              <w:keepLines/>
              <w:spacing w:after="0" w:line="240" w:lineRule="auto"/>
              <w:jc w:val="right"/>
            </w:pPr>
            <w:r>
              <w:rPr>
                <w:sz w:val="18"/>
              </w:rPr>
              <w:t>364,3</w:t>
            </w:r>
          </w:p>
        </w:tc>
      </w:tr>
    </w:tbl>
    <w:p w14:paraId="23F27A13" w14:textId="77777777" w:rsidR="00F14EF0" w:rsidRDefault="00F14EF0">
      <w:pPr>
        <w:spacing w:after="0"/>
      </w:pPr>
    </w:p>
    <w:p w14:paraId="2841E9B2" w14:textId="77777777" w:rsidR="00F14EF0" w:rsidRDefault="00AB54D4">
      <w:r>
        <w:t>Povećani rashodi u odnosu na prošlu godinu rezultat su nadogradnje postojećih informacijskih sustava te održavanja mrežnih stranica projekata.</w:t>
      </w:r>
    </w:p>
    <w:p w14:paraId="03AF0D63" w14:textId="77777777" w:rsidR="00F14EF0" w:rsidRDefault="00F14EF0"/>
    <w:p w14:paraId="6DA13986" w14:textId="77777777" w:rsidR="00F14EF0" w:rsidRDefault="00AB54D4">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4EF0" w14:paraId="462A4AF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28AA1C" w14:textId="77777777" w:rsidR="00F14EF0" w:rsidRDefault="00AB54D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12EBAE" w14:textId="77777777" w:rsidR="00F14EF0" w:rsidRDefault="00AB54D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E8678C" w14:textId="77777777" w:rsidR="00F14EF0" w:rsidRDefault="00AB54D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D95114" w14:textId="77777777" w:rsidR="00F14EF0" w:rsidRDefault="00AB54D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0869C4" w14:textId="77777777" w:rsidR="00F14EF0" w:rsidRDefault="00AB54D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CE8E00" w14:textId="77777777" w:rsidR="00F14EF0" w:rsidRDefault="00AB54D4">
            <w:pPr>
              <w:keepNext/>
              <w:keepLines/>
              <w:spacing w:after="0" w:line="240" w:lineRule="auto"/>
              <w:jc w:val="center"/>
            </w:pPr>
            <w:r>
              <w:rPr>
                <w:b/>
                <w:sz w:val="18"/>
              </w:rPr>
              <w:t>Indeks (%)</w:t>
            </w:r>
          </w:p>
        </w:tc>
      </w:tr>
      <w:tr w:rsidR="00F14EF0" w14:paraId="4C4E5CF3" w14:textId="77777777">
        <w:tblPrEx>
          <w:tblCellMar>
            <w:top w:w="0" w:type="dxa"/>
            <w:bottom w:w="0" w:type="dxa"/>
          </w:tblCellMar>
        </w:tblPrEx>
        <w:trPr>
          <w:cantSplit/>
          <w:trHeight w:val="560"/>
        </w:trPr>
        <w:tc>
          <w:tcPr>
            <w:tcW w:w="700" w:type="dxa"/>
            <w:tcMar>
              <w:top w:w="0" w:type="dxa"/>
              <w:bottom w:w="0" w:type="dxa"/>
            </w:tcMar>
            <w:vAlign w:val="center"/>
          </w:tcPr>
          <w:p w14:paraId="5F8B1C67" w14:textId="77777777" w:rsidR="00F14EF0" w:rsidRDefault="00AB54D4">
            <w:pPr>
              <w:keepNext/>
              <w:keepLines/>
              <w:spacing w:after="0" w:line="240" w:lineRule="auto"/>
            </w:pPr>
            <w:r>
              <w:rPr>
                <w:sz w:val="18"/>
              </w:rPr>
              <w:t>324</w:t>
            </w:r>
          </w:p>
        </w:tc>
        <w:tc>
          <w:tcPr>
            <w:tcW w:w="3180" w:type="dxa"/>
            <w:tcMar>
              <w:top w:w="0" w:type="dxa"/>
              <w:bottom w:w="0" w:type="dxa"/>
            </w:tcMar>
            <w:vAlign w:val="center"/>
          </w:tcPr>
          <w:p w14:paraId="76CD9579" w14:textId="77777777" w:rsidR="00F14EF0" w:rsidRDefault="00AB54D4">
            <w:pPr>
              <w:keepNext/>
              <w:keepLines/>
              <w:spacing w:after="0" w:line="240" w:lineRule="auto"/>
            </w:pPr>
            <w:r>
              <w:rPr>
                <w:sz w:val="18"/>
              </w:rPr>
              <w:t>Naknade troškova osobama izvan radnog odnosa</w:t>
            </w:r>
          </w:p>
        </w:tc>
        <w:tc>
          <w:tcPr>
            <w:tcW w:w="700" w:type="dxa"/>
            <w:tcMar>
              <w:top w:w="0" w:type="dxa"/>
              <w:bottom w:w="0" w:type="dxa"/>
            </w:tcMar>
            <w:vAlign w:val="center"/>
          </w:tcPr>
          <w:p w14:paraId="47EC3F0A" w14:textId="77777777" w:rsidR="00F14EF0" w:rsidRDefault="00AB54D4">
            <w:pPr>
              <w:keepNext/>
              <w:keepLines/>
              <w:spacing w:after="0" w:line="240" w:lineRule="auto"/>
            </w:pPr>
            <w:r>
              <w:rPr>
                <w:sz w:val="18"/>
              </w:rPr>
              <w:t>324</w:t>
            </w:r>
          </w:p>
        </w:tc>
        <w:tc>
          <w:tcPr>
            <w:tcW w:w="1860" w:type="dxa"/>
            <w:tcMar>
              <w:top w:w="0" w:type="dxa"/>
              <w:bottom w:w="0" w:type="dxa"/>
            </w:tcMar>
            <w:vAlign w:val="center"/>
          </w:tcPr>
          <w:p w14:paraId="4D3B34AE" w14:textId="77777777" w:rsidR="00F14EF0" w:rsidRDefault="00AB54D4">
            <w:pPr>
              <w:keepNext/>
              <w:keepLines/>
              <w:spacing w:after="0" w:line="240" w:lineRule="auto"/>
              <w:jc w:val="right"/>
            </w:pPr>
            <w:r>
              <w:rPr>
                <w:sz w:val="18"/>
              </w:rPr>
              <w:t>850.530,38</w:t>
            </w:r>
          </w:p>
        </w:tc>
        <w:tc>
          <w:tcPr>
            <w:tcW w:w="1860" w:type="dxa"/>
            <w:tcMar>
              <w:top w:w="0" w:type="dxa"/>
              <w:bottom w:w="0" w:type="dxa"/>
            </w:tcMar>
            <w:vAlign w:val="center"/>
          </w:tcPr>
          <w:p w14:paraId="7360CD13" w14:textId="77777777" w:rsidR="00F14EF0" w:rsidRDefault="00AB54D4">
            <w:pPr>
              <w:keepNext/>
              <w:keepLines/>
              <w:spacing w:after="0" w:line="240" w:lineRule="auto"/>
              <w:jc w:val="right"/>
            </w:pPr>
            <w:r>
              <w:rPr>
                <w:sz w:val="18"/>
              </w:rPr>
              <w:t>1.028.221,00</w:t>
            </w:r>
          </w:p>
        </w:tc>
        <w:tc>
          <w:tcPr>
            <w:tcW w:w="700" w:type="dxa"/>
            <w:tcMar>
              <w:top w:w="0" w:type="dxa"/>
              <w:bottom w:w="0" w:type="dxa"/>
            </w:tcMar>
            <w:vAlign w:val="center"/>
          </w:tcPr>
          <w:p w14:paraId="63A8583F" w14:textId="77777777" w:rsidR="00F14EF0" w:rsidRDefault="00AB54D4">
            <w:pPr>
              <w:keepNext/>
              <w:keepLines/>
              <w:spacing w:after="0" w:line="240" w:lineRule="auto"/>
              <w:jc w:val="right"/>
            </w:pPr>
            <w:r>
              <w:rPr>
                <w:sz w:val="18"/>
              </w:rPr>
              <w:t>120,9</w:t>
            </w:r>
          </w:p>
        </w:tc>
      </w:tr>
    </w:tbl>
    <w:p w14:paraId="7550BDFA" w14:textId="77777777" w:rsidR="00F14EF0" w:rsidRDefault="00F14EF0">
      <w:pPr>
        <w:spacing w:after="0"/>
      </w:pPr>
    </w:p>
    <w:p w14:paraId="359508A5" w14:textId="77777777" w:rsidR="00F14EF0" w:rsidRDefault="00AB54D4">
      <w:r>
        <w:t>I na ovu stavku je utjecalo kasnije potpisivanje ugovora o dodjeli bespovratnih sredstava u 2024. godini i aktivno provođenje projektih aktivnosti u 2025. godini. Rahodi na ovok stavci odnose se na članove mobilnih timova koji obavljaju posjete strukovnim školama te na vanjske vrednovatelje koji obavljaju poslove vanjskog vrednovanja ustanova za obrazovanje odraslih i vanjskog vrednovanja skupova ishoda učenja.</w:t>
      </w:r>
    </w:p>
    <w:p w14:paraId="31798047" w14:textId="77777777" w:rsidR="00F14EF0" w:rsidRDefault="00F14EF0"/>
    <w:p w14:paraId="1D3AF192" w14:textId="77777777" w:rsidR="00F14EF0" w:rsidRDefault="00AB54D4">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4EF0" w14:paraId="023039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523657" w14:textId="77777777" w:rsidR="00F14EF0" w:rsidRDefault="00AB54D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FBB2AC" w14:textId="77777777" w:rsidR="00F14EF0" w:rsidRDefault="00AB54D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024F1F" w14:textId="77777777" w:rsidR="00F14EF0" w:rsidRDefault="00AB54D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A21B8C" w14:textId="77777777" w:rsidR="00F14EF0" w:rsidRDefault="00AB54D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07A80B" w14:textId="77777777" w:rsidR="00F14EF0" w:rsidRDefault="00AB54D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C69432" w14:textId="77777777" w:rsidR="00F14EF0" w:rsidRDefault="00AB54D4">
            <w:pPr>
              <w:keepNext/>
              <w:keepLines/>
              <w:spacing w:after="0" w:line="240" w:lineRule="auto"/>
              <w:jc w:val="center"/>
            </w:pPr>
            <w:r>
              <w:rPr>
                <w:b/>
                <w:sz w:val="18"/>
              </w:rPr>
              <w:t>Indeks (%)</w:t>
            </w:r>
          </w:p>
        </w:tc>
      </w:tr>
      <w:tr w:rsidR="00F14EF0" w14:paraId="40AE04E1" w14:textId="77777777">
        <w:tblPrEx>
          <w:tblCellMar>
            <w:top w:w="0" w:type="dxa"/>
            <w:bottom w:w="0" w:type="dxa"/>
          </w:tblCellMar>
        </w:tblPrEx>
        <w:trPr>
          <w:cantSplit/>
          <w:trHeight w:val="560"/>
        </w:trPr>
        <w:tc>
          <w:tcPr>
            <w:tcW w:w="700" w:type="dxa"/>
            <w:tcMar>
              <w:top w:w="0" w:type="dxa"/>
              <w:bottom w:w="0" w:type="dxa"/>
            </w:tcMar>
            <w:vAlign w:val="center"/>
          </w:tcPr>
          <w:p w14:paraId="0F0A71DC" w14:textId="77777777" w:rsidR="00F14EF0" w:rsidRDefault="00AB54D4">
            <w:pPr>
              <w:keepNext/>
              <w:keepLines/>
              <w:spacing w:after="0" w:line="240" w:lineRule="auto"/>
            </w:pPr>
            <w:r>
              <w:rPr>
                <w:sz w:val="18"/>
              </w:rPr>
              <w:t>3291</w:t>
            </w:r>
          </w:p>
        </w:tc>
        <w:tc>
          <w:tcPr>
            <w:tcW w:w="3180" w:type="dxa"/>
            <w:tcMar>
              <w:top w:w="0" w:type="dxa"/>
              <w:bottom w:w="0" w:type="dxa"/>
            </w:tcMar>
            <w:vAlign w:val="center"/>
          </w:tcPr>
          <w:p w14:paraId="1EBEC43E" w14:textId="77777777" w:rsidR="00F14EF0" w:rsidRDefault="00AB54D4">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177B354C" w14:textId="77777777" w:rsidR="00F14EF0" w:rsidRDefault="00AB54D4">
            <w:pPr>
              <w:keepNext/>
              <w:keepLines/>
              <w:spacing w:after="0" w:line="240" w:lineRule="auto"/>
            </w:pPr>
            <w:r>
              <w:rPr>
                <w:sz w:val="18"/>
              </w:rPr>
              <w:t>3291</w:t>
            </w:r>
          </w:p>
        </w:tc>
        <w:tc>
          <w:tcPr>
            <w:tcW w:w="1860" w:type="dxa"/>
            <w:tcMar>
              <w:top w:w="0" w:type="dxa"/>
              <w:bottom w:w="0" w:type="dxa"/>
            </w:tcMar>
            <w:vAlign w:val="center"/>
          </w:tcPr>
          <w:p w14:paraId="6CB875FB" w14:textId="77777777" w:rsidR="00F14EF0" w:rsidRDefault="00AB54D4">
            <w:pPr>
              <w:keepNext/>
              <w:keepLines/>
              <w:spacing w:after="0" w:line="240" w:lineRule="auto"/>
              <w:jc w:val="right"/>
            </w:pPr>
            <w:r>
              <w:rPr>
                <w:sz w:val="18"/>
              </w:rPr>
              <w:t>12.331,08</w:t>
            </w:r>
          </w:p>
        </w:tc>
        <w:tc>
          <w:tcPr>
            <w:tcW w:w="1860" w:type="dxa"/>
            <w:tcMar>
              <w:top w:w="0" w:type="dxa"/>
              <w:bottom w:w="0" w:type="dxa"/>
            </w:tcMar>
            <w:vAlign w:val="center"/>
          </w:tcPr>
          <w:p w14:paraId="7B93020F" w14:textId="77777777" w:rsidR="00F14EF0" w:rsidRDefault="00AB54D4">
            <w:pPr>
              <w:keepNext/>
              <w:keepLines/>
              <w:spacing w:after="0" w:line="240" w:lineRule="auto"/>
              <w:jc w:val="right"/>
            </w:pPr>
            <w:r>
              <w:rPr>
                <w:sz w:val="18"/>
              </w:rPr>
              <w:t>24.850,45</w:t>
            </w:r>
          </w:p>
        </w:tc>
        <w:tc>
          <w:tcPr>
            <w:tcW w:w="700" w:type="dxa"/>
            <w:tcMar>
              <w:top w:w="0" w:type="dxa"/>
              <w:bottom w:w="0" w:type="dxa"/>
            </w:tcMar>
            <w:vAlign w:val="center"/>
          </w:tcPr>
          <w:p w14:paraId="51C2FE99" w14:textId="77777777" w:rsidR="00F14EF0" w:rsidRDefault="00AB54D4">
            <w:pPr>
              <w:keepNext/>
              <w:keepLines/>
              <w:spacing w:after="0" w:line="240" w:lineRule="auto"/>
              <w:jc w:val="right"/>
            </w:pPr>
            <w:r>
              <w:rPr>
                <w:sz w:val="18"/>
              </w:rPr>
              <w:t>201,5</w:t>
            </w:r>
          </w:p>
        </w:tc>
      </w:tr>
    </w:tbl>
    <w:p w14:paraId="6EFE08A6" w14:textId="77777777" w:rsidR="00F14EF0" w:rsidRDefault="00F14EF0">
      <w:pPr>
        <w:spacing w:after="0"/>
      </w:pPr>
    </w:p>
    <w:p w14:paraId="229EAB23" w14:textId="77777777" w:rsidR="00F14EF0" w:rsidRDefault="00AB54D4">
      <w:r>
        <w:t>Porast troškova na ovoj stavci u odnosu na prošlu godinu rezultat je povećanja naknada članovima Upravnog vijeća temeljem Odluke o visini i načinu isplate naknade za rad u vijećima, savjetima, povjerenstvima, radnim skupinama i drugim sličnim tijelima Ministarstva znanosti, obrazovanja i mladih od 18. srpnja 2024. godine.</w:t>
      </w:r>
    </w:p>
    <w:p w14:paraId="3C1827AB" w14:textId="77777777" w:rsidR="00F14EF0" w:rsidRDefault="00F14EF0"/>
    <w:p w14:paraId="05B6AFAE" w14:textId="77777777" w:rsidR="00F14EF0" w:rsidRDefault="00AB54D4">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4EF0" w14:paraId="5A220B5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7E508C" w14:textId="77777777" w:rsidR="00F14EF0" w:rsidRDefault="00AB54D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E4D664" w14:textId="77777777" w:rsidR="00F14EF0" w:rsidRDefault="00AB54D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017166" w14:textId="77777777" w:rsidR="00F14EF0" w:rsidRDefault="00AB54D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68434D" w14:textId="77777777" w:rsidR="00F14EF0" w:rsidRDefault="00AB54D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EAB484" w14:textId="77777777" w:rsidR="00F14EF0" w:rsidRDefault="00AB54D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1C1A1A" w14:textId="77777777" w:rsidR="00F14EF0" w:rsidRDefault="00AB54D4">
            <w:pPr>
              <w:keepNext/>
              <w:keepLines/>
              <w:spacing w:after="0" w:line="240" w:lineRule="auto"/>
              <w:jc w:val="center"/>
            </w:pPr>
            <w:r>
              <w:rPr>
                <w:b/>
                <w:sz w:val="18"/>
              </w:rPr>
              <w:t>Indeks (%)</w:t>
            </w:r>
          </w:p>
        </w:tc>
      </w:tr>
      <w:tr w:rsidR="00F14EF0" w14:paraId="4477F44E" w14:textId="77777777">
        <w:tblPrEx>
          <w:tblCellMar>
            <w:top w:w="0" w:type="dxa"/>
            <w:bottom w:w="0" w:type="dxa"/>
          </w:tblCellMar>
        </w:tblPrEx>
        <w:trPr>
          <w:cantSplit/>
          <w:trHeight w:val="560"/>
        </w:trPr>
        <w:tc>
          <w:tcPr>
            <w:tcW w:w="700" w:type="dxa"/>
            <w:tcMar>
              <w:top w:w="0" w:type="dxa"/>
              <w:bottom w:w="0" w:type="dxa"/>
            </w:tcMar>
            <w:vAlign w:val="center"/>
          </w:tcPr>
          <w:p w14:paraId="671B10A1" w14:textId="77777777" w:rsidR="00F14EF0" w:rsidRDefault="00AB54D4">
            <w:pPr>
              <w:keepNext/>
              <w:keepLines/>
              <w:spacing w:after="0" w:line="240" w:lineRule="auto"/>
            </w:pPr>
            <w:r>
              <w:rPr>
                <w:sz w:val="18"/>
              </w:rPr>
              <w:t>3292</w:t>
            </w:r>
          </w:p>
        </w:tc>
        <w:tc>
          <w:tcPr>
            <w:tcW w:w="3180" w:type="dxa"/>
            <w:tcMar>
              <w:top w:w="0" w:type="dxa"/>
              <w:bottom w:w="0" w:type="dxa"/>
            </w:tcMar>
            <w:vAlign w:val="center"/>
          </w:tcPr>
          <w:p w14:paraId="1459D785" w14:textId="77777777" w:rsidR="00F14EF0" w:rsidRDefault="00AB54D4">
            <w:pPr>
              <w:keepNext/>
              <w:keepLines/>
              <w:spacing w:after="0" w:line="240" w:lineRule="auto"/>
            </w:pPr>
            <w:r>
              <w:rPr>
                <w:sz w:val="18"/>
              </w:rPr>
              <w:t>Premije osiguranja</w:t>
            </w:r>
          </w:p>
        </w:tc>
        <w:tc>
          <w:tcPr>
            <w:tcW w:w="700" w:type="dxa"/>
            <w:tcMar>
              <w:top w:w="0" w:type="dxa"/>
              <w:bottom w:w="0" w:type="dxa"/>
            </w:tcMar>
            <w:vAlign w:val="center"/>
          </w:tcPr>
          <w:p w14:paraId="55ADB36D" w14:textId="77777777" w:rsidR="00F14EF0" w:rsidRDefault="00AB54D4">
            <w:pPr>
              <w:keepNext/>
              <w:keepLines/>
              <w:spacing w:after="0" w:line="240" w:lineRule="auto"/>
            </w:pPr>
            <w:r>
              <w:rPr>
                <w:sz w:val="18"/>
              </w:rPr>
              <w:t>3292</w:t>
            </w:r>
          </w:p>
        </w:tc>
        <w:tc>
          <w:tcPr>
            <w:tcW w:w="1860" w:type="dxa"/>
            <w:tcMar>
              <w:top w:w="0" w:type="dxa"/>
              <w:bottom w:w="0" w:type="dxa"/>
            </w:tcMar>
            <w:vAlign w:val="center"/>
          </w:tcPr>
          <w:p w14:paraId="03C93996" w14:textId="77777777" w:rsidR="00F14EF0" w:rsidRDefault="00AB54D4">
            <w:pPr>
              <w:keepNext/>
              <w:keepLines/>
              <w:spacing w:after="0" w:line="240" w:lineRule="auto"/>
              <w:jc w:val="right"/>
            </w:pPr>
            <w:r>
              <w:rPr>
                <w:sz w:val="18"/>
              </w:rPr>
              <w:t>1.804,91</w:t>
            </w:r>
          </w:p>
        </w:tc>
        <w:tc>
          <w:tcPr>
            <w:tcW w:w="1860" w:type="dxa"/>
            <w:tcMar>
              <w:top w:w="0" w:type="dxa"/>
              <w:bottom w:w="0" w:type="dxa"/>
            </w:tcMar>
            <w:vAlign w:val="center"/>
          </w:tcPr>
          <w:p w14:paraId="59B2F2ED" w14:textId="77777777" w:rsidR="00F14EF0" w:rsidRDefault="00AB54D4">
            <w:pPr>
              <w:keepNext/>
              <w:keepLines/>
              <w:spacing w:after="0" w:line="240" w:lineRule="auto"/>
              <w:jc w:val="right"/>
            </w:pPr>
            <w:r>
              <w:rPr>
                <w:sz w:val="18"/>
              </w:rPr>
              <w:t>5.013,82</w:t>
            </w:r>
          </w:p>
        </w:tc>
        <w:tc>
          <w:tcPr>
            <w:tcW w:w="700" w:type="dxa"/>
            <w:tcMar>
              <w:top w:w="0" w:type="dxa"/>
              <w:bottom w:w="0" w:type="dxa"/>
            </w:tcMar>
            <w:vAlign w:val="center"/>
          </w:tcPr>
          <w:p w14:paraId="411E5A38" w14:textId="77777777" w:rsidR="00F14EF0" w:rsidRDefault="00AB54D4">
            <w:pPr>
              <w:keepNext/>
              <w:keepLines/>
              <w:spacing w:after="0" w:line="240" w:lineRule="auto"/>
              <w:jc w:val="right"/>
            </w:pPr>
            <w:r>
              <w:rPr>
                <w:sz w:val="18"/>
              </w:rPr>
              <w:t>277,8</w:t>
            </w:r>
          </w:p>
        </w:tc>
      </w:tr>
    </w:tbl>
    <w:p w14:paraId="48E425A2" w14:textId="77777777" w:rsidR="00F14EF0" w:rsidRDefault="00F14EF0">
      <w:pPr>
        <w:spacing w:after="0"/>
      </w:pPr>
    </w:p>
    <w:p w14:paraId="738494C3" w14:textId="77777777" w:rsidR="00F14EF0" w:rsidRDefault="00AB54D4">
      <w:r>
        <w:t>Nabava novog automobila u 2025. godini utjecala je na povećanje troškova premija osiguranja</w:t>
      </w:r>
    </w:p>
    <w:p w14:paraId="404BDFAC" w14:textId="77777777" w:rsidR="00F14EF0" w:rsidRDefault="00F14EF0"/>
    <w:p w14:paraId="39D09370" w14:textId="77777777" w:rsidR="00F14EF0" w:rsidRDefault="00AB54D4">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4EF0" w14:paraId="45F8FC8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B5143F" w14:textId="77777777" w:rsidR="00F14EF0" w:rsidRDefault="00AB54D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D65F38" w14:textId="77777777" w:rsidR="00F14EF0" w:rsidRDefault="00AB54D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0FD93C" w14:textId="77777777" w:rsidR="00F14EF0" w:rsidRDefault="00AB54D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0DB03C" w14:textId="77777777" w:rsidR="00F14EF0" w:rsidRDefault="00AB54D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2EB4AE" w14:textId="77777777" w:rsidR="00F14EF0" w:rsidRDefault="00AB54D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D64A9B" w14:textId="77777777" w:rsidR="00F14EF0" w:rsidRDefault="00AB54D4">
            <w:pPr>
              <w:keepNext/>
              <w:keepLines/>
              <w:spacing w:after="0" w:line="240" w:lineRule="auto"/>
              <w:jc w:val="center"/>
            </w:pPr>
            <w:r>
              <w:rPr>
                <w:b/>
                <w:sz w:val="18"/>
              </w:rPr>
              <w:t>Indeks (%)</w:t>
            </w:r>
          </w:p>
        </w:tc>
      </w:tr>
      <w:tr w:rsidR="00F14EF0" w14:paraId="6A550581" w14:textId="77777777">
        <w:tblPrEx>
          <w:tblCellMar>
            <w:top w:w="0" w:type="dxa"/>
            <w:bottom w:w="0" w:type="dxa"/>
          </w:tblCellMar>
        </w:tblPrEx>
        <w:trPr>
          <w:cantSplit/>
          <w:trHeight w:val="560"/>
        </w:trPr>
        <w:tc>
          <w:tcPr>
            <w:tcW w:w="700" w:type="dxa"/>
            <w:tcMar>
              <w:top w:w="0" w:type="dxa"/>
              <w:bottom w:w="0" w:type="dxa"/>
            </w:tcMar>
            <w:vAlign w:val="center"/>
          </w:tcPr>
          <w:p w14:paraId="7BFC367B" w14:textId="77777777" w:rsidR="00F14EF0" w:rsidRDefault="00AB54D4">
            <w:pPr>
              <w:keepNext/>
              <w:keepLines/>
              <w:spacing w:after="0" w:line="240" w:lineRule="auto"/>
            </w:pPr>
            <w:r>
              <w:rPr>
                <w:sz w:val="18"/>
              </w:rPr>
              <w:t>3295</w:t>
            </w:r>
          </w:p>
        </w:tc>
        <w:tc>
          <w:tcPr>
            <w:tcW w:w="3180" w:type="dxa"/>
            <w:tcMar>
              <w:top w:w="0" w:type="dxa"/>
              <w:bottom w:w="0" w:type="dxa"/>
            </w:tcMar>
            <w:vAlign w:val="center"/>
          </w:tcPr>
          <w:p w14:paraId="15C3076B" w14:textId="77777777" w:rsidR="00F14EF0" w:rsidRDefault="00AB54D4">
            <w:pPr>
              <w:keepNext/>
              <w:keepLines/>
              <w:spacing w:after="0" w:line="240" w:lineRule="auto"/>
            </w:pPr>
            <w:r>
              <w:rPr>
                <w:sz w:val="18"/>
              </w:rPr>
              <w:t>Pristojbe i naknade</w:t>
            </w:r>
          </w:p>
        </w:tc>
        <w:tc>
          <w:tcPr>
            <w:tcW w:w="700" w:type="dxa"/>
            <w:tcMar>
              <w:top w:w="0" w:type="dxa"/>
              <w:bottom w:w="0" w:type="dxa"/>
            </w:tcMar>
            <w:vAlign w:val="center"/>
          </w:tcPr>
          <w:p w14:paraId="76005BB9" w14:textId="77777777" w:rsidR="00F14EF0" w:rsidRDefault="00AB54D4">
            <w:pPr>
              <w:keepNext/>
              <w:keepLines/>
              <w:spacing w:after="0" w:line="240" w:lineRule="auto"/>
            </w:pPr>
            <w:r>
              <w:rPr>
                <w:sz w:val="18"/>
              </w:rPr>
              <w:t>3295</w:t>
            </w:r>
          </w:p>
        </w:tc>
        <w:tc>
          <w:tcPr>
            <w:tcW w:w="1860" w:type="dxa"/>
            <w:tcMar>
              <w:top w:w="0" w:type="dxa"/>
              <w:bottom w:w="0" w:type="dxa"/>
            </w:tcMar>
            <w:vAlign w:val="center"/>
          </w:tcPr>
          <w:p w14:paraId="06CBCFD5" w14:textId="77777777" w:rsidR="00F14EF0" w:rsidRDefault="00AB54D4">
            <w:pPr>
              <w:keepNext/>
              <w:keepLines/>
              <w:spacing w:after="0" w:line="240" w:lineRule="auto"/>
              <w:jc w:val="right"/>
            </w:pPr>
            <w:r>
              <w:rPr>
                <w:sz w:val="18"/>
              </w:rPr>
              <w:t>662,78</w:t>
            </w:r>
          </w:p>
        </w:tc>
        <w:tc>
          <w:tcPr>
            <w:tcW w:w="1860" w:type="dxa"/>
            <w:tcMar>
              <w:top w:w="0" w:type="dxa"/>
              <w:bottom w:w="0" w:type="dxa"/>
            </w:tcMar>
            <w:vAlign w:val="center"/>
          </w:tcPr>
          <w:p w14:paraId="53F0C929" w14:textId="77777777" w:rsidR="00F14EF0" w:rsidRDefault="00AB54D4">
            <w:pPr>
              <w:keepNext/>
              <w:keepLines/>
              <w:spacing w:after="0" w:line="240" w:lineRule="auto"/>
              <w:jc w:val="right"/>
            </w:pPr>
            <w:r>
              <w:rPr>
                <w:sz w:val="18"/>
              </w:rPr>
              <w:t>3.168,03</w:t>
            </w:r>
          </w:p>
        </w:tc>
        <w:tc>
          <w:tcPr>
            <w:tcW w:w="700" w:type="dxa"/>
            <w:tcMar>
              <w:top w:w="0" w:type="dxa"/>
              <w:bottom w:w="0" w:type="dxa"/>
            </w:tcMar>
            <w:vAlign w:val="center"/>
          </w:tcPr>
          <w:p w14:paraId="57621F3B" w14:textId="77777777" w:rsidR="00F14EF0" w:rsidRDefault="00AB54D4">
            <w:pPr>
              <w:keepNext/>
              <w:keepLines/>
              <w:spacing w:after="0" w:line="240" w:lineRule="auto"/>
              <w:jc w:val="right"/>
            </w:pPr>
            <w:r>
              <w:rPr>
                <w:sz w:val="18"/>
              </w:rPr>
              <w:t>478,0</w:t>
            </w:r>
          </w:p>
        </w:tc>
      </w:tr>
    </w:tbl>
    <w:p w14:paraId="5AC1155B" w14:textId="77777777" w:rsidR="00F14EF0" w:rsidRDefault="00F14EF0">
      <w:pPr>
        <w:spacing w:after="0"/>
      </w:pPr>
    </w:p>
    <w:p w14:paraId="3C5D28B0" w14:textId="77777777" w:rsidR="00F14EF0" w:rsidRDefault="00AB54D4">
      <w:r>
        <w:t>Agencija za strukovno obrazovanje i obrazovanje odraslih ima obvezu zapošljavanja osoba s invaliditetom i to 3% od ukupnog broja zaposlenih. Do srpnja 2025. godine imali smo ugovor o poslovnoj suradnji sa tvrtkom HEDONA D.O.O. (trgovačko društvo  u kojima više od polovine radnika čine osobe s invaliditetom) koja nam je isporučivala proizvode iz svojeg asortimana sa našim logom te smo na taj način ispunjavali zakonsku obvezu kvotnog zapošljavanja. Obzirom da ugovor nije produžen nastavljeno je plaćanje te je</w:t>
      </w:r>
      <w:r>
        <w:t xml:space="preserve"> zato zabilježen porast u odnosu na prošlu godinu na ovoj stavci.</w:t>
      </w:r>
    </w:p>
    <w:p w14:paraId="5CEEBF9A" w14:textId="77777777" w:rsidR="00F14EF0" w:rsidRDefault="00F14EF0"/>
    <w:p w14:paraId="4E3964B7" w14:textId="77777777" w:rsidR="00F14EF0" w:rsidRDefault="00AB54D4">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4EF0" w14:paraId="085B827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D99E4B" w14:textId="77777777" w:rsidR="00F14EF0" w:rsidRDefault="00AB54D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9A669B" w14:textId="77777777" w:rsidR="00F14EF0" w:rsidRDefault="00AB54D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5F2D77" w14:textId="77777777" w:rsidR="00F14EF0" w:rsidRDefault="00AB54D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5FE9F3" w14:textId="77777777" w:rsidR="00F14EF0" w:rsidRDefault="00AB54D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9EE034" w14:textId="77777777" w:rsidR="00F14EF0" w:rsidRDefault="00AB54D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0BE4F5" w14:textId="77777777" w:rsidR="00F14EF0" w:rsidRDefault="00AB54D4">
            <w:pPr>
              <w:keepNext/>
              <w:keepLines/>
              <w:spacing w:after="0" w:line="240" w:lineRule="auto"/>
              <w:jc w:val="center"/>
            </w:pPr>
            <w:r>
              <w:rPr>
                <w:b/>
                <w:sz w:val="18"/>
              </w:rPr>
              <w:t>Indeks (%)</w:t>
            </w:r>
          </w:p>
        </w:tc>
      </w:tr>
      <w:tr w:rsidR="00F14EF0" w14:paraId="160A3BF5" w14:textId="77777777">
        <w:tblPrEx>
          <w:tblCellMar>
            <w:top w:w="0" w:type="dxa"/>
            <w:bottom w:w="0" w:type="dxa"/>
          </w:tblCellMar>
        </w:tblPrEx>
        <w:trPr>
          <w:cantSplit/>
          <w:trHeight w:val="560"/>
        </w:trPr>
        <w:tc>
          <w:tcPr>
            <w:tcW w:w="700" w:type="dxa"/>
            <w:tcMar>
              <w:top w:w="0" w:type="dxa"/>
              <w:bottom w:w="0" w:type="dxa"/>
            </w:tcMar>
            <w:vAlign w:val="center"/>
          </w:tcPr>
          <w:p w14:paraId="39A7F10F" w14:textId="77777777" w:rsidR="00F14EF0" w:rsidRDefault="00AB54D4">
            <w:pPr>
              <w:keepNext/>
              <w:keepLines/>
              <w:spacing w:after="0" w:line="240" w:lineRule="auto"/>
            </w:pPr>
            <w:r>
              <w:rPr>
                <w:sz w:val="18"/>
              </w:rPr>
              <w:t>363</w:t>
            </w:r>
          </w:p>
        </w:tc>
        <w:tc>
          <w:tcPr>
            <w:tcW w:w="3180" w:type="dxa"/>
            <w:tcMar>
              <w:top w:w="0" w:type="dxa"/>
              <w:bottom w:w="0" w:type="dxa"/>
            </w:tcMar>
            <w:vAlign w:val="center"/>
          </w:tcPr>
          <w:p w14:paraId="7AD79547" w14:textId="77777777" w:rsidR="00F14EF0" w:rsidRDefault="00AB54D4">
            <w:pPr>
              <w:keepNext/>
              <w:keepLines/>
              <w:spacing w:after="0" w:line="240" w:lineRule="auto"/>
            </w:pPr>
            <w:r>
              <w:rPr>
                <w:sz w:val="18"/>
              </w:rPr>
              <w:t>Pomoći drugom proračunu i izvanproračunskim korisnicima (šifre 3631 do 3636)</w:t>
            </w:r>
          </w:p>
        </w:tc>
        <w:tc>
          <w:tcPr>
            <w:tcW w:w="700" w:type="dxa"/>
            <w:tcMar>
              <w:top w:w="0" w:type="dxa"/>
              <w:bottom w:w="0" w:type="dxa"/>
            </w:tcMar>
            <w:vAlign w:val="center"/>
          </w:tcPr>
          <w:p w14:paraId="3B86B3EA" w14:textId="77777777" w:rsidR="00F14EF0" w:rsidRDefault="00AB54D4">
            <w:pPr>
              <w:keepNext/>
              <w:keepLines/>
              <w:spacing w:after="0" w:line="240" w:lineRule="auto"/>
            </w:pPr>
            <w:r>
              <w:rPr>
                <w:sz w:val="18"/>
              </w:rPr>
              <w:t>363</w:t>
            </w:r>
          </w:p>
        </w:tc>
        <w:tc>
          <w:tcPr>
            <w:tcW w:w="1860" w:type="dxa"/>
            <w:tcMar>
              <w:top w:w="0" w:type="dxa"/>
              <w:bottom w:w="0" w:type="dxa"/>
            </w:tcMar>
            <w:vAlign w:val="center"/>
          </w:tcPr>
          <w:p w14:paraId="39B0D9DF" w14:textId="77777777" w:rsidR="00F14EF0" w:rsidRDefault="00AB54D4">
            <w:pPr>
              <w:keepNext/>
              <w:keepLines/>
              <w:spacing w:after="0" w:line="240" w:lineRule="auto"/>
              <w:jc w:val="right"/>
            </w:pPr>
            <w:r>
              <w:rPr>
                <w:sz w:val="18"/>
              </w:rPr>
              <w:t>21.806,45</w:t>
            </w:r>
          </w:p>
        </w:tc>
        <w:tc>
          <w:tcPr>
            <w:tcW w:w="1860" w:type="dxa"/>
            <w:tcMar>
              <w:top w:w="0" w:type="dxa"/>
              <w:bottom w:w="0" w:type="dxa"/>
            </w:tcMar>
            <w:vAlign w:val="center"/>
          </w:tcPr>
          <w:p w14:paraId="50A30CE3" w14:textId="77777777" w:rsidR="00F14EF0" w:rsidRDefault="00AB54D4">
            <w:pPr>
              <w:keepNext/>
              <w:keepLines/>
              <w:spacing w:after="0" w:line="240" w:lineRule="auto"/>
              <w:jc w:val="right"/>
            </w:pPr>
            <w:r>
              <w:rPr>
                <w:sz w:val="18"/>
              </w:rPr>
              <w:t>35.952,51</w:t>
            </w:r>
          </w:p>
        </w:tc>
        <w:tc>
          <w:tcPr>
            <w:tcW w:w="700" w:type="dxa"/>
            <w:tcMar>
              <w:top w:w="0" w:type="dxa"/>
              <w:bottom w:w="0" w:type="dxa"/>
            </w:tcMar>
            <w:vAlign w:val="center"/>
          </w:tcPr>
          <w:p w14:paraId="1A32483E" w14:textId="77777777" w:rsidR="00F14EF0" w:rsidRDefault="00AB54D4">
            <w:pPr>
              <w:keepNext/>
              <w:keepLines/>
              <w:spacing w:after="0" w:line="240" w:lineRule="auto"/>
              <w:jc w:val="right"/>
            </w:pPr>
            <w:r>
              <w:rPr>
                <w:sz w:val="18"/>
              </w:rPr>
              <w:t>164,9</w:t>
            </w:r>
          </w:p>
        </w:tc>
      </w:tr>
    </w:tbl>
    <w:p w14:paraId="21AAD9C8" w14:textId="77777777" w:rsidR="00F14EF0" w:rsidRDefault="00F14EF0">
      <w:pPr>
        <w:spacing w:after="0"/>
      </w:pPr>
    </w:p>
    <w:p w14:paraId="327194D7" w14:textId="77777777" w:rsidR="00F14EF0" w:rsidRDefault="00AB54D4">
      <w:r>
        <w:t>Unutar ove stavke evidentiraju se refundacije troškova školama domaćinima za Državno natjecanje učenika strukovnih škola – WorldSkills Croatia. Povećanje na ovoj stavci u odnosu na 2024. godinu uzrokovano je odabirom škola domaćina koje su temeljem javnog poziva ispunile kriterije i uvjete za odabir. U prethodnim ciklusima odabrane škole domaćini gravitirale su Zagrebu te su troškovi bili znatno manji, a u ovogodišnjem ciklusu škole koje su bile odabrane su značajno udaljene od Zagreba te su time i troškovi</w:t>
      </w:r>
      <w:r>
        <w:t xml:space="preserve"> bili znatno povećani. Osim toga, discipline u kojima je došlo do promjene škola domaćina su infrastrukturno zahtjevnije što se odražava na povećanje troškova.</w:t>
      </w:r>
    </w:p>
    <w:p w14:paraId="4A67C503" w14:textId="77777777" w:rsidR="00F14EF0" w:rsidRDefault="00AB54D4">
      <w:r>
        <w:t> </w:t>
      </w:r>
    </w:p>
    <w:p w14:paraId="09FDD3D1" w14:textId="77777777" w:rsidR="00F14EF0" w:rsidRDefault="00F14EF0"/>
    <w:p w14:paraId="69B3B697" w14:textId="77777777" w:rsidR="00F14EF0" w:rsidRDefault="00AB54D4">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4EF0" w14:paraId="78FB62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70AB81" w14:textId="77777777" w:rsidR="00F14EF0" w:rsidRDefault="00AB54D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7035E0" w14:textId="77777777" w:rsidR="00F14EF0" w:rsidRDefault="00AB54D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CFAD2F" w14:textId="77777777" w:rsidR="00F14EF0" w:rsidRDefault="00AB54D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33E9F9" w14:textId="77777777" w:rsidR="00F14EF0" w:rsidRDefault="00AB54D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A3BFB5" w14:textId="77777777" w:rsidR="00F14EF0" w:rsidRDefault="00AB54D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FE832F" w14:textId="77777777" w:rsidR="00F14EF0" w:rsidRDefault="00AB54D4">
            <w:pPr>
              <w:keepNext/>
              <w:keepLines/>
              <w:spacing w:after="0" w:line="240" w:lineRule="auto"/>
              <w:jc w:val="center"/>
            </w:pPr>
            <w:r>
              <w:rPr>
                <w:b/>
                <w:sz w:val="18"/>
              </w:rPr>
              <w:t>Indeks (%)</w:t>
            </w:r>
          </w:p>
        </w:tc>
      </w:tr>
      <w:tr w:rsidR="00F14EF0" w14:paraId="3B0562EF" w14:textId="77777777">
        <w:tblPrEx>
          <w:tblCellMar>
            <w:top w:w="0" w:type="dxa"/>
            <w:bottom w:w="0" w:type="dxa"/>
          </w:tblCellMar>
        </w:tblPrEx>
        <w:trPr>
          <w:cantSplit/>
          <w:trHeight w:val="560"/>
        </w:trPr>
        <w:tc>
          <w:tcPr>
            <w:tcW w:w="700" w:type="dxa"/>
            <w:tcMar>
              <w:top w:w="0" w:type="dxa"/>
              <w:bottom w:w="0" w:type="dxa"/>
            </w:tcMar>
            <w:vAlign w:val="center"/>
          </w:tcPr>
          <w:p w14:paraId="5EFC3DA7" w14:textId="77777777" w:rsidR="00F14EF0" w:rsidRDefault="00AB54D4">
            <w:pPr>
              <w:keepNext/>
              <w:keepLines/>
              <w:spacing w:after="0" w:line="240" w:lineRule="auto"/>
            </w:pPr>
            <w:r>
              <w:rPr>
                <w:sz w:val="18"/>
              </w:rPr>
              <w:t>3661</w:t>
            </w:r>
          </w:p>
        </w:tc>
        <w:tc>
          <w:tcPr>
            <w:tcW w:w="3180" w:type="dxa"/>
            <w:tcMar>
              <w:top w:w="0" w:type="dxa"/>
              <w:bottom w:w="0" w:type="dxa"/>
            </w:tcMar>
            <w:vAlign w:val="center"/>
          </w:tcPr>
          <w:p w14:paraId="0DD60DDB" w14:textId="77777777" w:rsidR="00F14EF0" w:rsidRDefault="00AB54D4">
            <w:pPr>
              <w:keepNext/>
              <w:keepLines/>
              <w:spacing w:after="0" w:line="240" w:lineRule="auto"/>
            </w:pPr>
            <w:r>
              <w:rPr>
                <w:sz w:val="18"/>
              </w:rPr>
              <w:t>Tekuće pomoći proračunskim korisnicima drugih proračuna</w:t>
            </w:r>
          </w:p>
        </w:tc>
        <w:tc>
          <w:tcPr>
            <w:tcW w:w="700" w:type="dxa"/>
            <w:tcMar>
              <w:top w:w="0" w:type="dxa"/>
              <w:bottom w:w="0" w:type="dxa"/>
            </w:tcMar>
            <w:vAlign w:val="center"/>
          </w:tcPr>
          <w:p w14:paraId="67DE4A65" w14:textId="77777777" w:rsidR="00F14EF0" w:rsidRDefault="00AB54D4">
            <w:pPr>
              <w:keepNext/>
              <w:keepLines/>
              <w:spacing w:after="0" w:line="240" w:lineRule="auto"/>
            </w:pPr>
            <w:r>
              <w:rPr>
                <w:sz w:val="18"/>
              </w:rPr>
              <w:t>3661</w:t>
            </w:r>
          </w:p>
        </w:tc>
        <w:tc>
          <w:tcPr>
            <w:tcW w:w="1860" w:type="dxa"/>
            <w:tcMar>
              <w:top w:w="0" w:type="dxa"/>
              <w:bottom w:w="0" w:type="dxa"/>
            </w:tcMar>
            <w:vAlign w:val="center"/>
          </w:tcPr>
          <w:p w14:paraId="55D8FB9A" w14:textId="77777777" w:rsidR="00F14EF0" w:rsidRDefault="00AB54D4">
            <w:pPr>
              <w:keepNext/>
              <w:keepLines/>
              <w:spacing w:after="0" w:line="240" w:lineRule="auto"/>
              <w:jc w:val="right"/>
            </w:pPr>
            <w:r>
              <w:rPr>
                <w:sz w:val="18"/>
              </w:rPr>
              <w:t>61.977,78</w:t>
            </w:r>
          </w:p>
        </w:tc>
        <w:tc>
          <w:tcPr>
            <w:tcW w:w="1860" w:type="dxa"/>
            <w:tcMar>
              <w:top w:w="0" w:type="dxa"/>
              <w:bottom w:w="0" w:type="dxa"/>
            </w:tcMar>
            <w:vAlign w:val="center"/>
          </w:tcPr>
          <w:p w14:paraId="003926E7" w14:textId="77777777" w:rsidR="00F14EF0" w:rsidRDefault="00AB54D4">
            <w:pPr>
              <w:keepNext/>
              <w:keepLines/>
              <w:spacing w:after="0" w:line="240" w:lineRule="auto"/>
              <w:jc w:val="right"/>
            </w:pPr>
            <w:r>
              <w:rPr>
                <w:sz w:val="18"/>
              </w:rPr>
              <w:t>96.890,87</w:t>
            </w:r>
          </w:p>
        </w:tc>
        <w:tc>
          <w:tcPr>
            <w:tcW w:w="700" w:type="dxa"/>
            <w:tcMar>
              <w:top w:w="0" w:type="dxa"/>
              <w:bottom w:w="0" w:type="dxa"/>
            </w:tcMar>
            <w:vAlign w:val="center"/>
          </w:tcPr>
          <w:p w14:paraId="2B962B3C" w14:textId="77777777" w:rsidR="00F14EF0" w:rsidRDefault="00AB54D4">
            <w:pPr>
              <w:keepNext/>
              <w:keepLines/>
              <w:spacing w:after="0" w:line="240" w:lineRule="auto"/>
              <w:jc w:val="right"/>
            </w:pPr>
            <w:r>
              <w:rPr>
                <w:sz w:val="18"/>
              </w:rPr>
              <w:t>156,3</w:t>
            </w:r>
          </w:p>
        </w:tc>
      </w:tr>
    </w:tbl>
    <w:p w14:paraId="58B12D49" w14:textId="77777777" w:rsidR="00F14EF0" w:rsidRDefault="00F14EF0">
      <w:pPr>
        <w:spacing w:after="0"/>
      </w:pPr>
    </w:p>
    <w:p w14:paraId="202327C8" w14:textId="77777777" w:rsidR="00F14EF0" w:rsidRDefault="00AB54D4">
      <w:r>
        <w:t>Porast na ovoj stavci odnosi se na isplate refundacija školama za Međužupanijska stručna vijeća koja provode usavršavanja strukovnih nastavnika na županijskoj razini u odgovarajućem području. Prve isplate bile su u 2025. godini.</w:t>
      </w:r>
    </w:p>
    <w:p w14:paraId="7FB9EA76" w14:textId="77777777" w:rsidR="00F14EF0" w:rsidRDefault="00F14EF0"/>
    <w:p w14:paraId="1A64A3A9" w14:textId="77777777" w:rsidR="00F14EF0" w:rsidRDefault="00AB54D4">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4EF0" w14:paraId="05E158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E7485D" w14:textId="77777777" w:rsidR="00F14EF0" w:rsidRDefault="00AB54D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0CFD394" w14:textId="77777777" w:rsidR="00F14EF0" w:rsidRDefault="00AB54D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F4ACA7" w14:textId="77777777" w:rsidR="00F14EF0" w:rsidRDefault="00AB54D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908557" w14:textId="77777777" w:rsidR="00F14EF0" w:rsidRDefault="00AB54D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58526B" w14:textId="77777777" w:rsidR="00F14EF0" w:rsidRDefault="00AB54D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5E975B" w14:textId="77777777" w:rsidR="00F14EF0" w:rsidRDefault="00AB54D4">
            <w:pPr>
              <w:keepNext/>
              <w:keepLines/>
              <w:spacing w:after="0" w:line="240" w:lineRule="auto"/>
              <w:jc w:val="center"/>
            </w:pPr>
            <w:r>
              <w:rPr>
                <w:b/>
                <w:sz w:val="18"/>
              </w:rPr>
              <w:t>Indeks (%)</w:t>
            </w:r>
          </w:p>
        </w:tc>
      </w:tr>
      <w:tr w:rsidR="00F14EF0" w14:paraId="17291E82" w14:textId="77777777">
        <w:tblPrEx>
          <w:tblCellMar>
            <w:top w:w="0" w:type="dxa"/>
            <w:bottom w:w="0" w:type="dxa"/>
          </w:tblCellMar>
        </w:tblPrEx>
        <w:trPr>
          <w:cantSplit/>
          <w:trHeight w:val="560"/>
        </w:trPr>
        <w:tc>
          <w:tcPr>
            <w:tcW w:w="700" w:type="dxa"/>
            <w:tcMar>
              <w:top w:w="0" w:type="dxa"/>
              <w:bottom w:w="0" w:type="dxa"/>
            </w:tcMar>
            <w:vAlign w:val="center"/>
          </w:tcPr>
          <w:p w14:paraId="3112A2EF" w14:textId="77777777" w:rsidR="00F14EF0" w:rsidRDefault="00AB54D4">
            <w:pPr>
              <w:keepNext/>
              <w:keepLines/>
              <w:spacing w:after="0" w:line="240" w:lineRule="auto"/>
            </w:pPr>
            <w:r>
              <w:rPr>
                <w:sz w:val="18"/>
              </w:rPr>
              <w:t>368</w:t>
            </w:r>
          </w:p>
        </w:tc>
        <w:tc>
          <w:tcPr>
            <w:tcW w:w="3180" w:type="dxa"/>
            <w:tcMar>
              <w:top w:w="0" w:type="dxa"/>
              <w:bottom w:w="0" w:type="dxa"/>
            </w:tcMar>
            <w:vAlign w:val="center"/>
          </w:tcPr>
          <w:p w14:paraId="3301815E" w14:textId="77777777" w:rsidR="00F14EF0" w:rsidRDefault="00AB54D4">
            <w:pPr>
              <w:keepNext/>
              <w:keepLines/>
              <w:spacing w:after="0" w:line="240" w:lineRule="auto"/>
            </w:pPr>
            <w:r>
              <w:rPr>
                <w:sz w:val="18"/>
              </w:rPr>
              <w:t>Pomoći temeljem prijenosa EU sredstava (šifre 3681+3682)</w:t>
            </w:r>
          </w:p>
        </w:tc>
        <w:tc>
          <w:tcPr>
            <w:tcW w:w="700" w:type="dxa"/>
            <w:tcMar>
              <w:top w:w="0" w:type="dxa"/>
              <w:bottom w:w="0" w:type="dxa"/>
            </w:tcMar>
            <w:vAlign w:val="center"/>
          </w:tcPr>
          <w:p w14:paraId="5BCCC51E" w14:textId="77777777" w:rsidR="00F14EF0" w:rsidRDefault="00AB54D4">
            <w:pPr>
              <w:keepNext/>
              <w:keepLines/>
              <w:spacing w:after="0" w:line="240" w:lineRule="auto"/>
            </w:pPr>
            <w:r>
              <w:rPr>
                <w:sz w:val="18"/>
              </w:rPr>
              <w:t>368</w:t>
            </w:r>
          </w:p>
        </w:tc>
        <w:tc>
          <w:tcPr>
            <w:tcW w:w="1860" w:type="dxa"/>
            <w:tcMar>
              <w:top w:w="0" w:type="dxa"/>
              <w:bottom w:w="0" w:type="dxa"/>
            </w:tcMar>
            <w:vAlign w:val="center"/>
          </w:tcPr>
          <w:p w14:paraId="59B30529" w14:textId="77777777" w:rsidR="00F14EF0" w:rsidRDefault="00AB54D4">
            <w:pPr>
              <w:keepNext/>
              <w:keepLines/>
              <w:spacing w:after="0" w:line="240" w:lineRule="auto"/>
              <w:jc w:val="right"/>
            </w:pPr>
            <w:r>
              <w:rPr>
                <w:sz w:val="18"/>
              </w:rPr>
              <w:t>123.569,96</w:t>
            </w:r>
          </w:p>
        </w:tc>
        <w:tc>
          <w:tcPr>
            <w:tcW w:w="1860" w:type="dxa"/>
            <w:tcMar>
              <w:top w:w="0" w:type="dxa"/>
              <w:bottom w:w="0" w:type="dxa"/>
            </w:tcMar>
            <w:vAlign w:val="center"/>
          </w:tcPr>
          <w:p w14:paraId="43D9DA00" w14:textId="77777777" w:rsidR="00F14EF0" w:rsidRDefault="00AB54D4">
            <w:pPr>
              <w:keepNext/>
              <w:keepLines/>
              <w:spacing w:after="0" w:line="240" w:lineRule="auto"/>
              <w:jc w:val="right"/>
            </w:pPr>
            <w:r>
              <w:rPr>
                <w:sz w:val="18"/>
              </w:rPr>
              <w:t>203.730,85</w:t>
            </w:r>
          </w:p>
        </w:tc>
        <w:tc>
          <w:tcPr>
            <w:tcW w:w="700" w:type="dxa"/>
            <w:tcMar>
              <w:top w:w="0" w:type="dxa"/>
              <w:bottom w:w="0" w:type="dxa"/>
            </w:tcMar>
            <w:vAlign w:val="center"/>
          </w:tcPr>
          <w:p w14:paraId="178CFF41" w14:textId="77777777" w:rsidR="00F14EF0" w:rsidRDefault="00AB54D4">
            <w:pPr>
              <w:keepNext/>
              <w:keepLines/>
              <w:spacing w:after="0" w:line="240" w:lineRule="auto"/>
              <w:jc w:val="right"/>
            </w:pPr>
            <w:r>
              <w:rPr>
                <w:sz w:val="18"/>
              </w:rPr>
              <w:t>164,9</w:t>
            </w:r>
          </w:p>
        </w:tc>
      </w:tr>
    </w:tbl>
    <w:p w14:paraId="1F84160E" w14:textId="77777777" w:rsidR="00F14EF0" w:rsidRDefault="00F14EF0">
      <w:pPr>
        <w:spacing w:after="0"/>
      </w:pPr>
    </w:p>
    <w:p w14:paraId="294ECCBC" w14:textId="77777777" w:rsidR="00F14EF0" w:rsidRDefault="00AB54D4">
      <w:r>
        <w:t xml:space="preserve">Unutar ove stavke evidentiraju se refundacije troškova školama domaćinima za Državno natjecanje učenika strukovnih škola – WorldSkills Croatia. Povećanje na ovoj stavci u odnosu na 2024. godinu uzrokovano je odabirom škola domaćina koje su temeljem javnog poziva ispunile kriterije i uvjete za odabir. U prethodnim ciklusima odabrane škole domaćini gravitirale su </w:t>
      </w:r>
      <w:r>
        <w:lastRenderedPageBreak/>
        <w:t>Zagrebu te su troškovi bili znatno manji, a u ovogodišnjem ciklusu škole koje su bile odabrane su značajno udaljene od Zagreba te su time i troškovi bili znatno povećani. Osim toga, discipline u kojima je došlo do promjene škola domaćina su infrastrukturno zahtjevnije što se odražava na povećanje troškova.</w:t>
      </w:r>
    </w:p>
    <w:p w14:paraId="4F11243C" w14:textId="77777777" w:rsidR="00F14EF0" w:rsidRDefault="00F14EF0"/>
    <w:p w14:paraId="5FA7E6C4" w14:textId="77777777" w:rsidR="00F14EF0" w:rsidRDefault="00AB54D4">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4EF0" w14:paraId="61F2E6C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4CC64B" w14:textId="77777777" w:rsidR="00F14EF0" w:rsidRDefault="00AB54D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76003F6" w14:textId="77777777" w:rsidR="00F14EF0" w:rsidRDefault="00AB54D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84D09A" w14:textId="77777777" w:rsidR="00F14EF0" w:rsidRDefault="00AB54D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4394CA" w14:textId="77777777" w:rsidR="00F14EF0" w:rsidRDefault="00AB54D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AFD1FC" w14:textId="77777777" w:rsidR="00F14EF0" w:rsidRDefault="00AB54D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17B121" w14:textId="77777777" w:rsidR="00F14EF0" w:rsidRDefault="00AB54D4">
            <w:pPr>
              <w:keepNext/>
              <w:keepLines/>
              <w:spacing w:after="0" w:line="240" w:lineRule="auto"/>
              <w:jc w:val="center"/>
            </w:pPr>
            <w:r>
              <w:rPr>
                <w:b/>
                <w:sz w:val="18"/>
              </w:rPr>
              <w:t>Indeks (%)</w:t>
            </w:r>
          </w:p>
        </w:tc>
      </w:tr>
      <w:tr w:rsidR="00F14EF0" w14:paraId="17D27A3A" w14:textId="77777777">
        <w:tblPrEx>
          <w:tblCellMar>
            <w:top w:w="0" w:type="dxa"/>
            <w:bottom w:w="0" w:type="dxa"/>
          </w:tblCellMar>
        </w:tblPrEx>
        <w:trPr>
          <w:cantSplit/>
          <w:trHeight w:val="560"/>
        </w:trPr>
        <w:tc>
          <w:tcPr>
            <w:tcW w:w="700" w:type="dxa"/>
            <w:tcMar>
              <w:top w:w="0" w:type="dxa"/>
              <w:bottom w:w="0" w:type="dxa"/>
            </w:tcMar>
            <w:vAlign w:val="center"/>
          </w:tcPr>
          <w:p w14:paraId="3E8C2514" w14:textId="77777777" w:rsidR="00F14EF0" w:rsidRDefault="00F14EF0">
            <w:pPr>
              <w:keepNext/>
              <w:keepLines/>
              <w:spacing w:after="0" w:line="240" w:lineRule="auto"/>
            </w:pPr>
          </w:p>
        </w:tc>
        <w:tc>
          <w:tcPr>
            <w:tcW w:w="3180" w:type="dxa"/>
            <w:tcMar>
              <w:top w:w="0" w:type="dxa"/>
              <w:bottom w:w="0" w:type="dxa"/>
            </w:tcMar>
            <w:vAlign w:val="center"/>
          </w:tcPr>
          <w:p w14:paraId="2177575F" w14:textId="77777777" w:rsidR="00F14EF0" w:rsidRDefault="00AB54D4">
            <w:pPr>
              <w:keepNext/>
              <w:keepLines/>
              <w:spacing w:after="0" w:line="240" w:lineRule="auto"/>
            </w:pPr>
            <w:r>
              <w:rPr>
                <w:sz w:val="18"/>
              </w:rPr>
              <w:t>UKUPAN MANJAK PRIHODA (šifre Y034-X067)</w:t>
            </w:r>
          </w:p>
        </w:tc>
        <w:tc>
          <w:tcPr>
            <w:tcW w:w="700" w:type="dxa"/>
            <w:tcMar>
              <w:top w:w="0" w:type="dxa"/>
              <w:bottom w:w="0" w:type="dxa"/>
            </w:tcMar>
            <w:vAlign w:val="center"/>
          </w:tcPr>
          <w:p w14:paraId="7A5F8896" w14:textId="77777777" w:rsidR="00F14EF0" w:rsidRDefault="00AB54D4">
            <w:pPr>
              <w:keepNext/>
              <w:keepLines/>
              <w:spacing w:after="0" w:line="240" w:lineRule="auto"/>
            </w:pPr>
            <w:r>
              <w:rPr>
                <w:sz w:val="18"/>
              </w:rPr>
              <w:t>Y004</w:t>
            </w:r>
          </w:p>
        </w:tc>
        <w:tc>
          <w:tcPr>
            <w:tcW w:w="1860" w:type="dxa"/>
            <w:tcMar>
              <w:top w:w="0" w:type="dxa"/>
              <w:bottom w:w="0" w:type="dxa"/>
            </w:tcMar>
            <w:vAlign w:val="center"/>
          </w:tcPr>
          <w:p w14:paraId="3E07E1B9" w14:textId="77777777" w:rsidR="00F14EF0" w:rsidRDefault="00AB54D4">
            <w:pPr>
              <w:keepNext/>
              <w:keepLines/>
              <w:spacing w:after="0" w:line="240" w:lineRule="auto"/>
              <w:jc w:val="right"/>
            </w:pPr>
            <w:r>
              <w:rPr>
                <w:sz w:val="18"/>
              </w:rPr>
              <w:t>0,00</w:t>
            </w:r>
          </w:p>
        </w:tc>
        <w:tc>
          <w:tcPr>
            <w:tcW w:w="1860" w:type="dxa"/>
            <w:tcMar>
              <w:top w:w="0" w:type="dxa"/>
              <w:bottom w:w="0" w:type="dxa"/>
            </w:tcMar>
            <w:vAlign w:val="center"/>
          </w:tcPr>
          <w:p w14:paraId="4F6B3A2B" w14:textId="77777777" w:rsidR="00F14EF0" w:rsidRDefault="00AB54D4">
            <w:pPr>
              <w:keepNext/>
              <w:keepLines/>
              <w:spacing w:after="0" w:line="240" w:lineRule="auto"/>
              <w:jc w:val="right"/>
            </w:pPr>
            <w:r>
              <w:rPr>
                <w:sz w:val="18"/>
              </w:rPr>
              <w:t>492.578,89</w:t>
            </w:r>
          </w:p>
        </w:tc>
        <w:tc>
          <w:tcPr>
            <w:tcW w:w="700" w:type="dxa"/>
            <w:tcMar>
              <w:top w:w="0" w:type="dxa"/>
              <w:bottom w:w="0" w:type="dxa"/>
            </w:tcMar>
            <w:vAlign w:val="center"/>
          </w:tcPr>
          <w:p w14:paraId="5FA353CB" w14:textId="77777777" w:rsidR="00F14EF0" w:rsidRDefault="00AB54D4">
            <w:pPr>
              <w:keepNext/>
              <w:keepLines/>
              <w:spacing w:after="0" w:line="240" w:lineRule="auto"/>
              <w:jc w:val="right"/>
            </w:pPr>
            <w:r>
              <w:rPr>
                <w:sz w:val="18"/>
              </w:rPr>
              <w:t>-</w:t>
            </w:r>
          </w:p>
        </w:tc>
      </w:tr>
    </w:tbl>
    <w:p w14:paraId="00A7B0A2" w14:textId="77777777" w:rsidR="00F14EF0" w:rsidRDefault="00F14EF0">
      <w:pPr>
        <w:spacing w:after="0"/>
      </w:pPr>
    </w:p>
    <w:p w14:paraId="3C2FD4C0" w14:textId="77777777" w:rsidR="00F14EF0" w:rsidRDefault="00AB54D4">
      <w:r>
        <w:t>Promjena računovodstvene evidencije EU sredstava od 1. siječnja 2025. godine, a sukladno Uputi za računovodstveno evidentiranje sredstava Europske unije iz svibnja 2025. godine izdane od strane Ministarstva financija, utjecala je na ostvareni manjak prihoda. Do 31.12.2024. godine prihodi su se priznavali po obračunskoj osnovi, dok se od 1. siječnja 2025. godine priznaju po modificiranom načelu nastanka događaja.</w:t>
      </w:r>
    </w:p>
    <w:p w14:paraId="12018F70" w14:textId="77777777" w:rsidR="00F14EF0" w:rsidRDefault="00F14EF0"/>
    <w:p w14:paraId="60E877C7" w14:textId="77777777" w:rsidR="00F14EF0" w:rsidRDefault="00AB54D4">
      <w:pPr>
        <w:keepNext/>
        <w:spacing w:line="240" w:lineRule="auto"/>
        <w:jc w:val="center"/>
      </w:pPr>
      <w:r>
        <w:rPr>
          <w:b/>
          <w:sz w:val="28"/>
        </w:rPr>
        <w:t>Bilanca</w:t>
      </w:r>
    </w:p>
    <w:p w14:paraId="5148010E" w14:textId="77777777" w:rsidR="00F14EF0" w:rsidRDefault="00AB54D4">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4EF0" w14:paraId="2B5958A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5D6847" w14:textId="77777777" w:rsidR="00F14EF0" w:rsidRDefault="00AB54D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4763EBD" w14:textId="77777777" w:rsidR="00F14EF0" w:rsidRDefault="00AB54D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51B56C" w14:textId="77777777" w:rsidR="00F14EF0" w:rsidRDefault="00AB54D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A9C522" w14:textId="77777777" w:rsidR="00F14EF0" w:rsidRDefault="00AB54D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FFC551B" w14:textId="77777777" w:rsidR="00F14EF0" w:rsidRDefault="00AB54D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E59F003" w14:textId="77777777" w:rsidR="00F14EF0" w:rsidRDefault="00AB54D4">
            <w:pPr>
              <w:keepNext/>
              <w:keepLines/>
              <w:spacing w:after="0" w:line="240" w:lineRule="auto"/>
              <w:jc w:val="center"/>
            </w:pPr>
            <w:r>
              <w:rPr>
                <w:b/>
                <w:sz w:val="18"/>
              </w:rPr>
              <w:t>Indeks (%)</w:t>
            </w:r>
          </w:p>
        </w:tc>
      </w:tr>
      <w:tr w:rsidR="00F14EF0" w14:paraId="1F785A0A" w14:textId="77777777">
        <w:tblPrEx>
          <w:tblCellMar>
            <w:top w:w="0" w:type="dxa"/>
            <w:bottom w:w="0" w:type="dxa"/>
          </w:tblCellMar>
        </w:tblPrEx>
        <w:trPr>
          <w:cantSplit/>
          <w:trHeight w:val="560"/>
        </w:trPr>
        <w:tc>
          <w:tcPr>
            <w:tcW w:w="700" w:type="dxa"/>
            <w:tcMar>
              <w:top w:w="0" w:type="dxa"/>
              <w:bottom w:w="0" w:type="dxa"/>
            </w:tcMar>
            <w:vAlign w:val="center"/>
          </w:tcPr>
          <w:p w14:paraId="1DAB46BB" w14:textId="77777777" w:rsidR="00F14EF0" w:rsidRDefault="00AB54D4">
            <w:pPr>
              <w:keepNext/>
              <w:keepLines/>
              <w:spacing w:after="0" w:line="240" w:lineRule="auto"/>
            </w:pPr>
            <w:r>
              <w:rPr>
                <w:sz w:val="18"/>
              </w:rPr>
              <w:t>0231</w:t>
            </w:r>
          </w:p>
        </w:tc>
        <w:tc>
          <w:tcPr>
            <w:tcW w:w="3180" w:type="dxa"/>
            <w:tcMar>
              <w:top w:w="0" w:type="dxa"/>
              <w:bottom w:w="0" w:type="dxa"/>
            </w:tcMar>
            <w:vAlign w:val="center"/>
          </w:tcPr>
          <w:p w14:paraId="4EC526A9" w14:textId="77777777" w:rsidR="00F14EF0" w:rsidRDefault="00AB54D4">
            <w:pPr>
              <w:keepNext/>
              <w:keepLines/>
              <w:spacing w:after="0" w:line="240" w:lineRule="auto"/>
            </w:pPr>
            <w:r>
              <w:rPr>
                <w:sz w:val="18"/>
              </w:rPr>
              <w:t>Prijevozna sredstva u cestovnom prometu</w:t>
            </w:r>
          </w:p>
        </w:tc>
        <w:tc>
          <w:tcPr>
            <w:tcW w:w="700" w:type="dxa"/>
            <w:tcMar>
              <w:top w:w="0" w:type="dxa"/>
              <w:bottom w:w="0" w:type="dxa"/>
            </w:tcMar>
            <w:vAlign w:val="center"/>
          </w:tcPr>
          <w:p w14:paraId="7C68FA1B" w14:textId="77777777" w:rsidR="00F14EF0" w:rsidRDefault="00AB54D4">
            <w:pPr>
              <w:keepNext/>
              <w:keepLines/>
              <w:spacing w:after="0" w:line="240" w:lineRule="auto"/>
            </w:pPr>
            <w:r>
              <w:rPr>
                <w:sz w:val="18"/>
              </w:rPr>
              <w:t>0231</w:t>
            </w:r>
          </w:p>
        </w:tc>
        <w:tc>
          <w:tcPr>
            <w:tcW w:w="1860" w:type="dxa"/>
            <w:tcMar>
              <w:top w:w="0" w:type="dxa"/>
              <w:bottom w:w="0" w:type="dxa"/>
            </w:tcMar>
            <w:vAlign w:val="center"/>
          </w:tcPr>
          <w:p w14:paraId="624FE068" w14:textId="77777777" w:rsidR="00F14EF0" w:rsidRDefault="00AB54D4">
            <w:pPr>
              <w:keepNext/>
              <w:keepLines/>
              <w:spacing w:after="0" w:line="240" w:lineRule="auto"/>
              <w:jc w:val="right"/>
            </w:pPr>
            <w:r>
              <w:rPr>
                <w:sz w:val="18"/>
              </w:rPr>
              <w:t>115.759,99</w:t>
            </w:r>
          </w:p>
        </w:tc>
        <w:tc>
          <w:tcPr>
            <w:tcW w:w="1860" w:type="dxa"/>
            <w:tcMar>
              <w:top w:w="0" w:type="dxa"/>
              <w:bottom w:w="0" w:type="dxa"/>
            </w:tcMar>
            <w:vAlign w:val="center"/>
          </w:tcPr>
          <w:p w14:paraId="2D60E6B3" w14:textId="77777777" w:rsidR="00F14EF0" w:rsidRDefault="00AB54D4">
            <w:pPr>
              <w:keepNext/>
              <w:keepLines/>
              <w:spacing w:after="0" w:line="240" w:lineRule="auto"/>
              <w:jc w:val="right"/>
            </w:pPr>
            <w:r>
              <w:rPr>
                <w:sz w:val="18"/>
              </w:rPr>
              <w:t>146.775,28</w:t>
            </w:r>
          </w:p>
        </w:tc>
        <w:tc>
          <w:tcPr>
            <w:tcW w:w="700" w:type="dxa"/>
            <w:tcMar>
              <w:top w:w="0" w:type="dxa"/>
              <w:bottom w:w="0" w:type="dxa"/>
            </w:tcMar>
            <w:vAlign w:val="center"/>
          </w:tcPr>
          <w:p w14:paraId="797F3099" w14:textId="77777777" w:rsidR="00F14EF0" w:rsidRDefault="00AB54D4">
            <w:pPr>
              <w:keepNext/>
              <w:keepLines/>
              <w:spacing w:after="0" w:line="240" w:lineRule="auto"/>
              <w:jc w:val="right"/>
            </w:pPr>
            <w:r>
              <w:rPr>
                <w:sz w:val="18"/>
              </w:rPr>
              <w:t>126,8</w:t>
            </w:r>
          </w:p>
        </w:tc>
      </w:tr>
    </w:tbl>
    <w:p w14:paraId="6723003B" w14:textId="77777777" w:rsidR="00F14EF0" w:rsidRDefault="00F14EF0">
      <w:pPr>
        <w:spacing w:after="0"/>
      </w:pPr>
    </w:p>
    <w:p w14:paraId="44CCC607" w14:textId="77777777" w:rsidR="00F14EF0" w:rsidRDefault="00AB54D4">
      <w:r>
        <w:t>Povećanje na ovoj stavci rezultat je nabave novog osobnog automobila u 2025. godini.</w:t>
      </w:r>
    </w:p>
    <w:p w14:paraId="7ED5D846" w14:textId="77777777" w:rsidR="00F14EF0" w:rsidRDefault="00F14EF0"/>
    <w:p w14:paraId="6CD6FE8C" w14:textId="77777777" w:rsidR="00F14EF0" w:rsidRDefault="00AB54D4">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4EF0" w14:paraId="033876C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F02A49" w14:textId="77777777" w:rsidR="00F14EF0" w:rsidRDefault="00AB54D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E92FBE0" w14:textId="77777777" w:rsidR="00F14EF0" w:rsidRDefault="00AB54D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D5938B" w14:textId="77777777" w:rsidR="00F14EF0" w:rsidRDefault="00AB54D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8A2D2A" w14:textId="77777777" w:rsidR="00F14EF0" w:rsidRDefault="00AB54D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AF36CCA" w14:textId="77777777" w:rsidR="00F14EF0" w:rsidRDefault="00AB54D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7A154A0" w14:textId="77777777" w:rsidR="00F14EF0" w:rsidRDefault="00AB54D4">
            <w:pPr>
              <w:keepNext/>
              <w:keepLines/>
              <w:spacing w:after="0" w:line="240" w:lineRule="auto"/>
              <w:jc w:val="center"/>
            </w:pPr>
            <w:r>
              <w:rPr>
                <w:b/>
                <w:sz w:val="18"/>
              </w:rPr>
              <w:t>Indeks (%)</w:t>
            </w:r>
          </w:p>
        </w:tc>
      </w:tr>
      <w:tr w:rsidR="00F14EF0" w14:paraId="766B03A7" w14:textId="77777777">
        <w:tblPrEx>
          <w:tblCellMar>
            <w:top w:w="0" w:type="dxa"/>
            <w:bottom w:w="0" w:type="dxa"/>
          </w:tblCellMar>
        </w:tblPrEx>
        <w:trPr>
          <w:cantSplit/>
          <w:trHeight w:val="560"/>
        </w:trPr>
        <w:tc>
          <w:tcPr>
            <w:tcW w:w="700" w:type="dxa"/>
            <w:tcMar>
              <w:top w:w="0" w:type="dxa"/>
              <w:bottom w:w="0" w:type="dxa"/>
            </w:tcMar>
            <w:vAlign w:val="center"/>
          </w:tcPr>
          <w:p w14:paraId="2830DB67" w14:textId="77777777" w:rsidR="00F14EF0" w:rsidRDefault="00AB54D4">
            <w:pPr>
              <w:keepNext/>
              <w:keepLines/>
              <w:spacing w:after="0" w:line="240" w:lineRule="auto"/>
            </w:pPr>
            <w:r>
              <w:rPr>
                <w:sz w:val="18"/>
              </w:rPr>
              <w:t>122</w:t>
            </w:r>
          </w:p>
        </w:tc>
        <w:tc>
          <w:tcPr>
            <w:tcW w:w="3180" w:type="dxa"/>
            <w:tcMar>
              <w:top w:w="0" w:type="dxa"/>
              <w:bottom w:w="0" w:type="dxa"/>
            </w:tcMar>
            <w:vAlign w:val="center"/>
          </w:tcPr>
          <w:p w14:paraId="755DB99C" w14:textId="77777777" w:rsidR="00F14EF0" w:rsidRDefault="00AB54D4">
            <w:pPr>
              <w:keepNext/>
              <w:keepLines/>
              <w:spacing w:after="0" w:line="240" w:lineRule="auto"/>
            </w:pPr>
            <w:r>
              <w:rPr>
                <w:sz w:val="18"/>
              </w:rPr>
              <w:t>Potraživanja za jamčevne pologe</w:t>
            </w:r>
          </w:p>
        </w:tc>
        <w:tc>
          <w:tcPr>
            <w:tcW w:w="700" w:type="dxa"/>
            <w:tcMar>
              <w:top w:w="0" w:type="dxa"/>
              <w:bottom w:w="0" w:type="dxa"/>
            </w:tcMar>
            <w:vAlign w:val="center"/>
          </w:tcPr>
          <w:p w14:paraId="27A6998C" w14:textId="77777777" w:rsidR="00F14EF0" w:rsidRDefault="00AB54D4">
            <w:pPr>
              <w:keepNext/>
              <w:keepLines/>
              <w:spacing w:after="0" w:line="240" w:lineRule="auto"/>
            </w:pPr>
            <w:r>
              <w:rPr>
                <w:sz w:val="18"/>
              </w:rPr>
              <w:t>122</w:t>
            </w:r>
          </w:p>
        </w:tc>
        <w:tc>
          <w:tcPr>
            <w:tcW w:w="1860" w:type="dxa"/>
            <w:tcMar>
              <w:top w:w="0" w:type="dxa"/>
              <w:bottom w:w="0" w:type="dxa"/>
            </w:tcMar>
            <w:vAlign w:val="center"/>
          </w:tcPr>
          <w:p w14:paraId="3D5D5DB6" w14:textId="77777777" w:rsidR="00F14EF0" w:rsidRDefault="00AB54D4">
            <w:pPr>
              <w:keepNext/>
              <w:keepLines/>
              <w:spacing w:after="0" w:line="240" w:lineRule="auto"/>
              <w:jc w:val="right"/>
            </w:pPr>
            <w:r>
              <w:rPr>
                <w:sz w:val="18"/>
              </w:rPr>
              <w:t>24.842,50</w:t>
            </w:r>
          </w:p>
        </w:tc>
        <w:tc>
          <w:tcPr>
            <w:tcW w:w="1860" w:type="dxa"/>
            <w:tcMar>
              <w:top w:w="0" w:type="dxa"/>
              <w:bottom w:w="0" w:type="dxa"/>
            </w:tcMar>
            <w:vAlign w:val="center"/>
          </w:tcPr>
          <w:p w14:paraId="41E0DE64" w14:textId="77777777" w:rsidR="00F14EF0" w:rsidRDefault="00AB54D4">
            <w:pPr>
              <w:keepNext/>
              <w:keepLines/>
              <w:spacing w:after="0" w:line="240" w:lineRule="auto"/>
              <w:jc w:val="right"/>
            </w:pPr>
            <w:r>
              <w:rPr>
                <w:sz w:val="18"/>
              </w:rPr>
              <w:t>71.741,34</w:t>
            </w:r>
          </w:p>
        </w:tc>
        <w:tc>
          <w:tcPr>
            <w:tcW w:w="700" w:type="dxa"/>
            <w:tcMar>
              <w:top w:w="0" w:type="dxa"/>
              <w:bottom w:w="0" w:type="dxa"/>
            </w:tcMar>
            <w:vAlign w:val="center"/>
          </w:tcPr>
          <w:p w14:paraId="6AC082E9" w14:textId="77777777" w:rsidR="00F14EF0" w:rsidRDefault="00AB54D4">
            <w:pPr>
              <w:keepNext/>
              <w:keepLines/>
              <w:spacing w:after="0" w:line="240" w:lineRule="auto"/>
              <w:jc w:val="right"/>
            </w:pPr>
            <w:r>
              <w:rPr>
                <w:sz w:val="18"/>
              </w:rPr>
              <w:t>288,8</w:t>
            </w:r>
          </w:p>
        </w:tc>
      </w:tr>
    </w:tbl>
    <w:p w14:paraId="027803CD" w14:textId="77777777" w:rsidR="00F14EF0" w:rsidRDefault="00F14EF0">
      <w:pPr>
        <w:spacing w:after="0"/>
      </w:pPr>
    </w:p>
    <w:p w14:paraId="513672C3" w14:textId="77777777" w:rsidR="00F14EF0" w:rsidRDefault="00AB54D4">
      <w:r>
        <w:t>Povećanje primljenih jamstava za uredno ispunjenje ugovora povećano je radi većeg broja nabava u odnosu na 2024. godinu.</w:t>
      </w:r>
    </w:p>
    <w:p w14:paraId="30DD91E3" w14:textId="77777777" w:rsidR="00F14EF0" w:rsidRDefault="00F14EF0"/>
    <w:p w14:paraId="3F328349" w14:textId="77777777" w:rsidR="00F14EF0" w:rsidRDefault="00AB54D4">
      <w:pPr>
        <w:keepNext/>
        <w:spacing w:line="240" w:lineRule="auto"/>
        <w:jc w:val="center"/>
      </w:pPr>
      <w:r>
        <w:rPr>
          <w:sz w:val="28"/>
        </w:rPr>
        <w:lastRenderedPageBreak/>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4EF0" w14:paraId="6785660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E36ED9" w14:textId="77777777" w:rsidR="00F14EF0" w:rsidRDefault="00AB54D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2040D1" w14:textId="77777777" w:rsidR="00F14EF0" w:rsidRDefault="00AB54D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635E6E" w14:textId="77777777" w:rsidR="00F14EF0" w:rsidRDefault="00AB54D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2A66E6" w14:textId="77777777" w:rsidR="00F14EF0" w:rsidRDefault="00AB54D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7BA3D3A" w14:textId="77777777" w:rsidR="00F14EF0" w:rsidRDefault="00AB54D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ECBB255" w14:textId="77777777" w:rsidR="00F14EF0" w:rsidRDefault="00AB54D4">
            <w:pPr>
              <w:keepNext/>
              <w:keepLines/>
              <w:spacing w:after="0" w:line="240" w:lineRule="auto"/>
              <w:jc w:val="center"/>
            </w:pPr>
            <w:r>
              <w:rPr>
                <w:b/>
                <w:sz w:val="18"/>
              </w:rPr>
              <w:t>Indeks (%)</w:t>
            </w:r>
          </w:p>
        </w:tc>
      </w:tr>
      <w:tr w:rsidR="00F14EF0" w14:paraId="4A6A685C" w14:textId="77777777">
        <w:tblPrEx>
          <w:tblCellMar>
            <w:top w:w="0" w:type="dxa"/>
            <w:bottom w:w="0" w:type="dxa"/>
          </w:tblCellMar>
        </w:tblPrEx>
        <w:trPr>
          <w:cantSplit/>
          <w:trHeight w:val="560"/>
        </w:trPr>
        <w:tc>
          <w:tcPr>
            <w:tcW w:w="700" w:type="dxa"/>
            <w:tcMar>
              <w:top w:w="0" w:type="dxa"/>
              <w:bottom w:w="0" w:type="dxa"/>
            </w:tcMar>
            <w:vAlign w:val="center"/>
          </w:tcPr>
          <w:p w14:paraId="03A82431" w14:textId="77777777" w:rsidR="00F14EF0" w:rsidRDefault="00AB54D4">
            <w:pPr>
              <w:keepNext/>
              <w:keepLines/>
              <w:spacing w:after="0" w:line="240" w:lineRule="auto"/>
            </w:pPr>
            <w:r>
              <w:rPr>
                <w:sz w:val="18"/>
              </w:rPr>
              <w:t>129</w:t>
            </w:r>
          </w:p>
        </w:tc>
        <w:tc>
          <w:tcPr>
            <w:tcW w:w="3180" w:type="dxa"/>
            <w:tcMar>
              <w:top w:w="0" w:type="dxa"/>
              <w:bottom w:w="0" w:type="dxa"/>
            </w:tcMar>
            <w:vAlign w:val="center"/>
          </w:tcPr>
          <w:p w14:paraId="648112C3" w14:textId="77777777" w:rsidR="00F14EF0" w:rsidRDefault="00AB54D4">
            <w:pPr>
              <w:keepNext/>
              <w:keepLines/>
              <w:spacing w:after="0" w:line="240" w:lineRule="auto"/>
            </w:pPr>
            <w:r>
              <w:rPr>
                <w:sz w:val="18"/>
              </w:rPr>
              <w:t>Ostala potraživanja</w:t>
            </w:r>
          </w:p>
        </w:tc>
        <w:tc>
          <w:tcPr>
            <w:tcW w:w="700" w:type="dxa"/>
            <w:tcMar>
              <w:top w:w="0" w:type="dxa"/>
              <w:bottom w:w="0" w:type="dxa"/>
            </w:tcMar>
            <w:vAlign w:val="center"/>
          </w:tcPr>
          <w:p w14:paraId="46B9AE10" w14:textId="77777777" w:rsidR="00F14EF0" w:rsidRDefault="00AB54D4">
            <w:pPr>
              <w:keepNext/>
              <w:keepLines/>
              <w:spacing w:after="0" w:line="240" w:lineRule="auto"/>
            </w:pPr>
            <w:r>
              <w:rPr>
                <w:sz w:val="18"/>
              </w:rPr>
              <w:t>129</w:t>
            </w:r>
          </w:p>
        </w:tc>
        <w:tc>
          <w:tcPr>
            <w:tcW w:w="1860" w:type="dxa"/>
            <w:tcMar>
              <w:top w:w="0" w:type="dxa"/>
              <w:bottom w:w="0" w:type="dxa"/>
            </w:tcMar>
            <w:vAlign w:val="center"/>
          </w:tcPr>
          <w:p w14:paraId="5C5772E1" w14:textId="77777777" w:rsidR="00F14EF0" w:rsidRDefault="00AB54D4">
            <w:pPr>
              <w:keepNext/>
              <w:keepLines/>
              <w:spacing w:after="0" w:line="240" w:lineRule="auto"/>
              <w:jc w:val="right"/>
            </w:pPr>
            <w:r>
              <w:rPr>
                <w:sz w:val="18"/>
              </w:rPr>
              <w:t>3.989,66</w:t>
            </w:r>
          </w:p>
        </w:tc>
        <w:tc>
          <w:tcPr>
            <w:tcW w:w="1860" w:type="dxa"/>
            <w:tcMar>
              <w:top w:w="0" w:type="dxa"/>
              <w:bottom w:w="0" w:type="dxa"/>
            </w:tcMar>
            <w:vAlign w:val="center"/>
          </w:tcPr>
          <w:p w14:paraId="21DEFE21" w14:textId="77777777" w:rsidR="00F14EF0" w:rsidRDefault="00AB54D4">
            <w:pPr>
              <w:keepNext/>
              <w:keepLines/>
              <w:spacing w:after="0" w:line="240" w:lineRule="auto"/>
              <w:jc w:val="right"/>
            </w:pPr>
            <w:r>
              <w:rPr>
                <w:sz w:val="18"/>
              </w:rPr>
              <w:t>15.195,71</w:t>
            </w:r>
          </w:p>
        </w:tc>
        <w:tc>
          <w:tcPr>
            <w:tcW w:w="700" w:type="dxa"/>
            <w:tcMar>
              <w:top w:w="0" w:type="dxa"/>
              <w:bottom w:w="0" w:type="dxa"/>
            </w:tcMar>
            <w:vAlign w:val="center"/>
          </w:tcPr>
          <w:p w14:paraId="02C7EA0B" w14:textId="77777777" w:rsidR="00F14EF0" w:rsidRDefault="00AB54D4">
            <w:pPr>
              <w:keepNext/>
              <w:keepLines/>
              <w:spacing w:after="0" w:line="240" w:lineRule="auto"/>
              <w:jc w:val="right"/>
            </w:pPr>
            <w:r>
              <w:rPr>
                <w:sz w:val="18"/>
              </w:rPr>
              <w:t>380,9</w:t>
            </w:r>
          </w:p>
        </w:tc>
      </w:tr>
    </w:tbl>
    <w:p w14:paraId="6F326C62" w14:textId="77777777" w:rsidR="00F14EF0" w:rsidRDefault="00F14EF0">
      <w:pPr>
        <w:spacing w:after="0"/>
      </w:pPr>
    </w:p>
    <w:p w14:paraId="7C74F012" w14:textId="77777777" w:rsidR="00F14EF0" w:rsidRDefault="00AB54D4">
      <w:r>
        <w:t>Ova stavka odnosi se na potraživanja od HZZO-a za bolovanja. U ovoj godini zabilježen je porast bolovanja djelatnika u odnosu na prošlu godinu.</w:t>
      </w:r>
    </w:p>
    <w:p w14:paraId="2D2AE823" w14:textId="77777777" w:rsidR="00F14EF0" w:rsidRDefault="00F14EF0"/>
    <w:p w14:paraId="62185B75" w14:textId="77777777" w:rsidR="00F14EF0" w:rsidRDefault="00AB54D4">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4EF0" w14:paraId="0097BC0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79820D" w14:textId="77777777" w:rsidR="00F14EF0" w:rsidRDefault="00AB54D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F7F11CD" w14:textId="77777777" w:rsidR="00F14EF0" w:rsidRDefault="00AB54D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DAC096" w14:textId="77777777" w:rsidR="00F14EF0" w:rsidRDefault="00AB54D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1B0F89" w14:textId="77777777" w:rsidR="00F14EF0" w:rsidRDefault="00AB54D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82FDAD5" w14:textId="77777777" w:rsidR="00F14EF0" w:rsidRDefault="00AB54D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EEACBC3" w14:textId="77777777" w:rsidR="00F14EF0" w:rsidRDefault="00AB54D4">
            <w:pPr>
              <w:keepNext/>
              <w:keepLines/>
              <w:spacing w:after="0" w:line="240" w:lineRule="auto"/>
              <w:jc w:val="center"/>
            </w:pPr>
            <w:r>
              <w:rPr>
                <w:b/>
                <w:sz w:val="18"/>
              </w:rPr>
              <w:t>Indeks (%)</w:t>
            </w:r>
          </w:p>
        </w:tc>
      </w:tr>
      <w:tr w:rsidR="00F14EF0" w14:paraId="2E87935C" w14:textId="77777777">
        <w:tblPrEx>
          <w:tblCellMar>
            <w:top w:w="0" w:type="dxa"/>
            <w:bottom w:w="0" w:type="dxa"/>
          </w:tblCellMar>
        </w:tblPrEx>
        <w:trPr>
          <w:cantSplit/>
          <w:trHeight w:val="560"/>
        </w:trPr>
        <w:tc>
          <w:tcPr>
            <w:tcW w:w="700" w:type="dxa"/>
            <w:tcMar>
              <w:top w:w="0" w:type="dxa"/>
              <w:bottom w:w="0" w:type="dxa"/>
            </w:tcMar>
            <w:vAlign w:val="center"/>
          </w:tcPr>
          <w:p w14:paraId="58151742" w14:textId="77777777" w:rsidR="00F14EF0" w:rsidRDefault="00AB54D4">
            <w:pPr>
              <w:keepNext/>
              <w:keepLines/>
              <w:spacing w:after="0" w:line="240" w:lineRule="auto"/>
            </w:pPr>
            <w:r>
              <w:rPr>
                <w:sz w:val="18"/>
              </w:rPr>
              <w:t>167</w:t>
            </w:r>
          </w:p>
        </w:tc>
        <w:tc>
          <w:tcPr>
            <w:tcW w:w="3180" w:type="dxa"/>
            <w:tcMar>
              <w:top w:w="0" w:type="dxa"/>
              <w:bottom w:w="0" w:type="dxa"/>
            </w:tcMar>
            <w:vAlign w:val="center"/>
          </w:tcPr>
          <w:p w14:paraId="3C2A1A17" w14:textId="77777777" w:rsidR="00F14EF0" w:rsidRDefault="00AB54D4">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14:paraId="3637C4DD" w14:textId="77777777" w:rsidR="00F14EF0" w:rsidRDefault="00AB54D4">
            <w:pPr>
              <w:keepNext/>
              <w:keepLines/>
              <w:spacing w:after="0" w:line="240" w:lineRule="auto"/>
            </w:pPr>
            <w:r>
              <w:rPr>
                <w:sz w:val="18"/>
              </w:rPr>
              <w:t>167</w:t>
            </w:r>
          </w:p>
        </w:tc>
        <w:tc>
          <w:tcPr>
            <w:tcW w:w="1860" w:type="dxa"/>
            <w:tcMar>
              <w:top w:w="0" w:type="dxa"/>
              <w:bottom w:w="0" w:type="dxa"/>
            </w:tcMar>
            <w:vAlign w:val="center"/>
          </w:tcPr>
          <w:p w14:paraId="14882A54" w14:textId="77777777" w:rsidR="00F14EF0" w:rsidRDefault="00AB54D4">
            <w:pPr>
              <w:keepNext/>
              <w:keepLines/>
              <w:spacing w:after="0" w:line="240" w:lineRule="auto"/>
              <w:jc w:val="right"/>
            </w:pPr>
            <w:r>
              <w:rPr>
                <w:sz w:val="18"/>
              </w:rPr>
              <w:t>527.619,37</w:t>
            </w:r>
          </w:p>
        </w:tc>
        <w:tc>
          <w:tcPr>
            <w:tcW w:w="1860" w:type="dxa"/>
            <w:tcMar>
              <w:top w:w="0" w:type="dxa"/>
              <w:bottom w:w="0" w:type="dxa"/>
            </w:tcMar>
            <w:vAlign w:val="center"/>
          </w:tcPr>
          <w:p w14:paraId="46CC9C67" w14:textId="77777777" w:rsidR="00F14EF0" w:rsidRDefault="00AB54D4">
            <w:pPr>
              <w:keepNext/>
              <w:keepLines/>
              <w:spacing w:after="0" w:line="240" w:lineRule="auto"/>
              <w:jc w:val="right"/>
            </w:pPr>
            <w:r>
              <w:rPr>
                <w:sz w:val="18"/>
              </w:rPr>
              <w:t>700.728,93</w:t>
            </w:r>
          </w:p>
        </w:tc>
        <w:tc>
          <w:tcPr>
            <w:tcW w:w="700" w:type="dxa"/>
            <w:tcMar>
              <w:top w:w="0" w:type="dxa"/>
              <w:bottom w:w="0" w:type="dxa"/>
            </w:tcMar>
            <w:vAlign w:val="center"/>
          </w:tcPr>
          <w:p w14:paraId="3298E4A0" w14:textId="77777777" w:rsidR="00F14EF0" w:rsidRDefault="00AB54D4">
            <w:pPr>
              <w:keepNext/>
              <w:keepLines/>
              <w:spacing w:after="0" w:line="240" w:lineRule="auto"/>
              <w:jc w:val="right"/>
            </w:pPr>
            <w:r>
              <w:rPr>
                <w:sz w:val="18"/>
              </w:rPr>
              <w:t>132,8</w:t>
            </w:r>
          </w:p>
        </w:tc>
      </w:tr>
    </w:tbl>
    <w:p w14:paraId="222D03F8" w14:textId="77777777" w:rsidR="00F14EF0" w:rsidRDefault="00F14EF0">
      <w:pPr>
        <w:spacing w:after="0"/>
      </w:pPr>
    </w:p>
    <w:p w14:paraId="33FE08E0" w14:textId="77777777" w:rsidR="00F14EF0" w:rsidRDefault="00AB54D4">
      <w:r>
        <w:t>Neutrošene tekuće pomoći iz izvora 51 i izvora 52 odnose se na projekte REFERNET U REPUBLICI HRVATSKOJ, EQAVET NRP-Nacionalne referentne točke, TRENING ZA VJEŠTINE U VIRTUALNOM OKRUŽENJU (T4SVEN),  EPALE IV, PARTNER UP, PLASS-COMP, DiMa, NACIONALNI KOORDINATOR ZA OBRAZOVANJE ODRASLIH ZA RH</w:t>
      </w:r>
    </w:p>
    <w:p w14:paraId="33A753AA" w14:textId="77777777" w:rsidR="00F14EF0" w:rsidRDefault="00F14EF0"/>
    <w:p w14:paraId="354175E1" w14:textId="77777777" w:rsidR="00F14EF0" w:rsidRDefault="00AB54D4">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4EF0" w14:paraId="41C8E4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53F967" w14:textId="77777777" w:rsidR="00F14EF0" w:rsidRDefault="00AB54D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F93B4E4" w14:textId="77777777" w:rsidR="00F14EF0" w:rsidRDefault="00AB54D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8F6BD0" w14:textId="77777777" w:rsidR="00F14EF0" w:rsidRDefault="00AB54D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27F45C" w14:textId="77777777" w:rsidR="00F14EF0" w:rsidRDefault="00AB54D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CD6598C" w14:textId="77777777" w:rsidR="00F14EF0" w:rsidRDefault="00AB54D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6360774" w14:textId="77777777" w:rsidR="00F14EF0" w:rsidRDefault="00AB54D4">
            <w:pPr>
              <w:keepNext/>
              <w:keepLines/>
              <w:spacing w:after="0" w:line="240" w:lineRule="auto"/>
              <w:jc w:val="center"/>
            </w:pPr>
            <w:r>
              <w:rPr>
                <w:b/>
                <w:sz w:val="18"/>
              </w:rPr>
              <w:t>Indeks (%)</w:t>
            </w:r>
          </w:p>
        </w:tc>
      </w:tr>
      <w:tr w:rsidR="00F14EF0" w14:paraId="17AECC65" w14:textId="77777777">
        <w:tblPrEx>
          <w:tblCellMar>
            <w:top w:w="0" w:type="dxa"/>
            <w:bottom w:w="0" w:type="dxa"/>
          </w:tblCellMar>
        </w:tblPrEx>
        <w:trPr>
          <w:cantSplit/>
          <w:trHeight w:val="560"/>
        </w:trPr>
        <w:tc>
          <w:tcPr>
            <w:tcW w:w="700" w:type="dxa"/>
            <w:tcMar>
              <w:top w:w="0" w:type="dxa"/>
              <w:bottom w:w="0" w:type="dxa"/>
            </w:tcMar>
            <w:vAlign w:val="center"/>
          </w:tcPr>
          <w:p w14:paraId="52FE6962" w14:textId="77777777" w:rsidR="00F14EF0" w:rsidRDefault="00AB54D4">
            <w:pPr>
              <w:keepNext/>
              <w:keepLines/>
              <w:spacing w:after="0" w:line="240" w:lineRule="auto"/>
            </w:pPr>
            <w:r>
              <w:rPr>
                <w:sz w:val="18"/>
              </w:rPr>
              <w:t>27</w:t>
            </w:r>
          </w:p>
        </w:tc>
        <w:tc>
          <w:tcPr>
            <w:tcW w:w="3180" w:type="dxa"/>
            <w:tcMar>
              <w:top w:w="0" w:type="dxa"/>
              <w:bottom w:w="0" w:type="dxa"/>
            </w:tcMar>
            <w:vAlign w:val="center"/>
          </w:tcPr>
          <w:p w14:paraId="051DB770" w14:textId="77777777" w:rsidR="00F14EF0" w:rsidRDefault="00AB54D4">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6012E734" w14:textId="77777777" w:rsidR="00F14EF0" w:rsidRDefault="00AB54D4">
            <w:pPr>
              <w:keepNext/>
              <w:keepLines/>
              <w:spacing w:after="0" w:line="240" w:lineRule="auto"/>
            </w:pPr>
            <w:r>
              <w:rPr>
                <w:sz w:val="18"/>
              </w:rPr>
              <w:t>27</w:t>
            </w:r>
          </w:p>
        </w:tc>
        <w:tc>
          <w:tcPr>
            <w:tcW w:w="1860" w:type="dxa"/>
            <w:tcMar>
              <w:top w:w="0" w:type="dxa"/>
              <w:bottom w:w="0" w:type="dxa"/>
            </w:tcMar>
            <w:vAlign w:val="center"/>
          </w:tcPr>
          <w:p w14:paraId="503C937A" w14:textId="77777777" w:rsidR="00F14EF0" w:rsidRDefault="00AB54D4">
            <w:pPr>
              <w:keepNext/>
              <w:keepLines/>
              <w:spacing w:after="0" w:line="240" w:lineRule="auto"/>
              <w:jc w:val="right"/>
            </w:pPr>
            <w:r>
              <w:rPr>
                <w:sz w:val="18"/>
              </w:rPr>
              <w:t>0,00</w:t>
            </w:r>
          </w:p>
        </w:tc>
        <w:tc>
          <w:tcPr>
            <w:tcW w:w="1860" w:type="dxa"/>
            <w:tcMar>
              <w:top w:w="0" w:type="dxa"/>
              <w:bottom w:w="0" w:type="dxa"/>
            </w:tcMar>
            <w:vAlign w:val="center"/>
          </w:tcPr>
          <w:p w14:paraId="3EF28424" w14:textId="77777777" w:rsidR="00F14EF0" w:rsidRDefault="00AB54D4">
            <w:pPr>
              <w:keepNext/>
              <w:keepLines/>
              <w:spacing w:after="0" w:line="240" w:lineRule="auto"/>
              <w:jc w:val="right"/>
            </w:pPr>
            <w:r>
              <w:rPr>
                <w:sz w:val="18"/>
              </w:rPr>
              <w:t>781.662,13</w:t>
            </w:r>
          </w:p>
        </w:tc>
        <w:tc>
          <w:tcPr>
            <w:tcW w:w="700" w:type="dxa"/>
            <w:tcMar>
              <w:top w:w="0" w:type="dxa"/>
              <w:bottom w:w="0" w:type="dxa"/>
            </w:tcMar>
            <w:vAlign w:val="center"/>
          </w:tcPr>
          <w:p w14:paraId="78C4243A" w14:textId="77777777" w:rsidR="00F14EF0" w:rsidRDefault="00AB54D4">
            <w:pPr>
              <w:keepNext/>
              <w:keepLines/>
              <w:spacing w:after="0" w:line="240" w:lineRule="auto"/>
              <w:jc w:val="right"/>
            </w:pPr>
            <w:r>
              <w:rPr>
                <w:sz w:val="18"/>
              </w:rPr>
              <w:t>-</w:t>
            </w:r>
          </w:p>
        </w:tc>
      </w:tr>
    </w:tbl>
    <w:p w14:paraId="27E3F3F8" w14:textId="77777777" w:rsidR="00F14EF0" w:rsidRDefault="00F14EF0">
      <w:pPr>
        <w:spacing w:after="0"/>
      </w:pPr>
    </w:p>
    <w:p w14:paraId="6F132A30" w14:textId="77777777" w:rsidR="00F14EF0" w:rsidRDefault="00AB54D4">
      <w:r>
        <w:t>Novim Računskim planom iz odjeljka 2395 preneseni su osnovni računi za praćenje predujmova, depozita, jamčevnih pologa i tuđih prihoda u novu skupinu računa 27. Iz Tog razloga imamo 100% povećanje na ovoj stavci.</w:t>
      </w:r>
    </w:p>
    <w:p w14:paraId="4D465D03" w14:textId="77777777" w:rsidR="00F14EF0" w:rsidRDefault="00AB54D4">
      <w:r>
        <w:t>Također, promjena računovodstvene evidencije EU sredstava od 1. siječnja 2025. godine, a sukladno Uputi za računovodstveno evidentiranje sredstava Europske unije iz svibnja 2025. godine izdane od strane Ministarstva financija, utjecala je na pojavu konta obveza za EU predujmove dane od institucija i tijela EU.</w:t>
      </w:r>
    </w:p>
    <w:p w14:paraId="1F6B1362" w14:textId="77777777" w:rsidR="00F14EF0" w:rsidRDefault="00F14EF0"/>
    <w:p w14:paraId="69D36187" w14:textId="77777777" w:rsidR="00F14EF0" w:rsidRDefault="00AB54D4">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4EF0" w14:paraId="2A1A5C8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516A75" w14:textId="77777777" w:rsidR="00F14EF0" w:rsidRDefault="00AB54D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76DF25A" w14:textId="77777777" w:rsidR="00F14EF0" w:rsidRDefault="00AB54D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F75D9A" w14:textId="77777777" w:rsidR="00F14EF0" w:rsidRDefault="00AB54D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CEE743" w14:textId="77777777" w:rsidR="00F14EF0" w:rsidRDefault="00AB54D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F8ADB2B" w14:textId="77777777" w:rsidR="00F14EF0" w:rsidRDefault="00AB54D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D06D4B1" w14:textId="77777777" w:rsidR="00F14EF0" w:rsidRDefault="00AB54D4">
            <w:pPr>
              <w:keepNext/>
              <w:keepLines/>
              <w:spacing w:after="0" w:line="240" w:lineRule="auto"/>
              <w:jc w:val="center"/>
            </w:pPr>
            <w:r>
              <w:rPr>
                <w:b/>
                <w:sz w:val="18"/>
              </w:rPr>
              <w:t>Indeks (%)</w:t>
            </w:r>
          </w:p>
        </w:tc>
      </w:tr>
      <w:tr w:rsidR="00F14EF0" w14:paraId="60C29A33" w14:textId="77777777">
        <w:tblPrEx>
          <w:tblCellMar>
            <w:top w:w="0" w:type="dxa"/>
            <w:bottom w:w="0" w:type="dxa"/>
          </w:tblCellMar>
        </w:tblPrEx>
        <w:trPr>
          <w:cantSplit/>
          <w:trHeight w:val="560"/>
        </w:trPr>
        <w:tc>
          <w:tcPr>
            <w:tcW w:w="700" w:type="dxa"/>
            <w:tcMar>
              <w:top w:w="0" w:type="dxa"/>
              <w:bottom w:w="0" w:type="dxa"/>
            </w:tcMar>
            <w:vAlign w:val="center"/>
          </w:tcPr>
          <w:p w14:paraId="505B57F1" w14:textId="77777777" w:rsidR="00F14EF0" w:rsidRDefault="00AB54D4">
            <w:pPr>
              <w:keepNext/>
              <w:keepLines/>
              <w:spacing w:after="0" w:line="240" w:lineRule="auto"/>
            </w:pPr>
            <w:r>
              <w:rPr>
                <w:sz w:val="18"/>
              </w:rPr>
              <w:t>922</w:t>
            </w:r>
          </w:p>
        </w:tc>
        <w:tc>
          <w:tcPr>
            <w:tcW w:w="3180" w:type="dxa"/>
            <w:tcMar>
              <w:top w:w="0" w:type="dxa"/>
              <w:bottom w:w="0" w:type="dxa"/>
            </w:tcMar>
            <w:vAlign w:val="center"/>
          </w:tcPr>
          <w:p w14:paraId="5B49904A" w14:textId="77777777" w:rsidR="00F14EF0" w:rsidRDefault="00AB54D4">
            <w:pPr>
              <w:keepNext/>
              <w:keepLines/>
              <w:spacing w:after="0" w:line="240" w:lineRule="auto"/>
            </w:pPr>
            <w:r>
              <w:rPr>
                <w:sz w:val="18"/>
              </w:rPr>
              <w:t>Rezultat - višak/manjak (šifre 9221-9222)</w:t>
            </w:r>
          </w:p>
        </w:tc>
        <w:tc>
          <w:tcPr>
            <w:tcW w:w="700" w:type="dxa"/>
            <w:tcMar>
              <w:top w:w="0" w:type="dxa"/>
              <w:bottom w:w="0" w:type="dxa"/>
            </w:tcMar>
            <w:vAlign w:val="center"/>
          </w:tcPr>
          <w:p w14:paraId="30315B9F" w14:textId="77777777" w:rsidR="00F14EF0" w:rsidRDefault="00AB54D4">
            <w:pPr>
              <w:keepNext/>
              <w:keepLines/>
              <w:spacing w:after="0" w:line="240" w:lineRule="auto"/>
            </w:pPr>
            <w:r>
              <w:rPr>
                <w:sz w:val="18"/>
              </w:rPr>
              <w:t>922</w:t>
            </w:r>
          </w:p>
        </w:tc>
        <w:tc>
          <w:tcPr>
            <w:tcW w:w="1860" w:type="dxa"/>
            <w:tcMar>
              <w:top w:w="0" w:type="dxa"/>
              <w:bottom w:w="0" w:type="dxa"/>
            </w:tcMar>
            <w:vAlign w:val="center"/>
          </w:tcPr>
          <w:p w14:paraId="7094BC73" w14:textId="77777777" w:rsidR="00F14EF0" w:rsidRDefault="00AB54D4">
            <w:pPr>
              <w:keepNext/>
              <w:keepLines/>
              <w:spacing w:after="0" w:line="240" w:lineRule="auto"/>
              <w:jc w:val="right"/>
            </w:pPr>
            <w:r>
              <w:rPr>
                <w:sz w:val="18"/>
              </w:rPr>
              <w:t>527.619,37</w:t>
            </w:r>
          </w:p>
        </w:tc>
        <w:tc>
          <w:tcPr>
            <w:tcW w:w="1860" w:type="dxa"/>
            <w:tcMar>
              <w:top w:w="0" w:type="dxa"/>
              <w:bottom w:w="0" w:type="dxa"/>
            </w:tcMar>
            <w:vAlign w:val="center"/>
          </w:tcPr>
          <w:p w14:paraId="150E71E1" w14:textId="77777777" w:rsidR="00F14EF0" w:rsidRDefault="00AB54D4">
            <w:pPr>
              <w:keepNext/>
              <w:keepLines/>
              <w:spacing w:after="0" w:line="240" w:lineRule="auto"/>
              <w:jc w:val="right"/>
            </w:pPr>
            <w:r>
              <w:rPr>
                <w:sz w:val="18"/>
              </w:rPr>
              <w:t>-492.578,89</w:t>
            </w:r>
          </w:p>
        </w:tc>
        <w:tc>
          <w:tcPr>
            <w:tcW w:w="700" w:type="dxa"/>
            <w:tcMar>
              <w:top w:w="0" w:type="dxa"/>
              <w:bottom w:w="0" w:type="dxa"/>
            </w:tcMar>
            <w:vAlign w:val="center"/>
          </w:tcPr>
          <w:p w14:paraId="66338001" w14:textId="77777777" w:rsidR="00F14EF0" w:rsidRDefault="00AB54D4">
            <w:pPr>
              <w:keepNext/>
              <w:keepLines/>
              <w:spacing w:after="0" w:line="240" w:lineRule="auto"/>
              <w:jc w:val="right"/>
            </w:pPr>
            <w:r>
              <w:rPr>
                <w:sz w:val="18"/>
              </w:rPr>
              <w:t>-93,4</w:t>
            </w:r>
          </w:p>
        </w:tc>
      </w:tr>
    </w:tbl>
    <w:p w14:paraId="24A28FB0" w14:textId="77777777" w:rsidR="00F14EF0" w:rsidRDefault="00F14EF0">
      <w:pPr>
        <w:spacing w:after="0"/>
      </w:pPr>
    </w:p>
    <w:p w14:paraId="0B6F21C4" w14:textId="77777777" w:rsidR="00F14EF0" w:rsidRDefault="00AB54D4">
      <w:r>
        <w:t>Promjena računovodstvene evidencije EU sredstava od 1. siječnja 2025. godine, a sukladno Uputi za računovodstveno evidentiranje sredstava Europske unije iz svibnja 2025. godine izdane od strane Ministarstva financija, utjecala je na ostvareni manjak prihoda. Do 31.12.2024. godine prihodi su se priznavali po obračunskoj osnovi, dok se od 1. siječnja 2025. godine priznaju po modificiranom načelu nastanka događaja.</w:t>
      </w:r>
    </w:p>
    <w:p w14:paraId="416F12FA" w14:textId="77777777" w:rsidR="00F14EF0" w:rsidRDefault="00F14EF0"/>
    <w:p w14:paraId="5D37D231" w14:textId="77777777" w:rsidR="00F14EF0" w:rsidRDefault="00AB54D4">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4EF0" w14:paraId="5C20C3B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8785AE" w14:textId="77777777" w:rsidR="00F14EF0" w:rsidRDefault="00AB54D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72042ED" w14:textId="77777777" w:rsidR="00F14EF0" w:rsidRDefault="00AB54D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B421FC" w14:textId="77777777" w:rsidR="00F14EF0" w:rsidRDefault="00AB54D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88C0F9" w14:textId="77777777" w:rsidR="00F14EF0" w:rsidRDefault="00AB54D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15FF72F" w14:textId="77777777" w:rsidR="00F14EF0" w:rsidRDefault="00AB54D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99AA10A" w14:textId="77777777" w:rsidR="00F14EF0" w:rsidRDefault="00AB54D4">
            <w:pPr>
              <w:keepNext/>
              <w:keepLines/>
              <w:spacing w:after="0" w:line="240" w:lineRule="auto"/>
              <w:jc w:val="center"/>
            </w:pPr>
            <w:r>
              <w:rPr>
                <w:b/>
                <w:sz w:val="18"/>
              </w:rPr>
              <w:t>Indeks (%)</w:t>
            </w:r>
          </w:p>
        </w:tc>
      </w:tr>
      <w:tr w:rsidR="00F14EF0" w14:paraId="61A5F4DE" w14:textId="77777777">
        <w:tblPrEx>
          <w:tblCellMar>
            <w:top w:w="0" w:type="dxa"/>
            <w:bottom w:w="0" w:type="dxa"/>
          </w:tblCellMar>
        </w:tblPrEx>
        <w:trPr>
          <w:cantSplit/>
          <w:trHeight w:val="560"/>
        </w:trPr>
        <w:tc>
          <w:tcPr>
            <w:tcW w:w="700" w:type="dxa"/>
            <w:tcMar>
              <w:top w:w="0" w:type="dxa"/>
              <w:bottom w:w="0" w:type="dxa"/>
            </w:tcMar>
            <w:vAlign w:val="center"/>
          </w:tcPr>
          <w:p w14:paraId="700211F5" w14:textId="77777777" w:rsidR="00F14EF0" w:rsidRDefault="00AB54D4">
            <w:pPr>
              <w:keepNext/>
              <w:keepLines/>
              <w:spacing w:after="0" w:line="240" w:lineRule="auto"/>
            </w:pPr>
            <w:r>
              <w:rPr>
                <w:sz w:val="18"/>
              </w:rPr>
              <w:t>991</w:t>
            </w:r>
          </w:p>
        </w:tc>
        <w:tc>
          <w:tcPr>
            <w:tcW w:w="3180" w:type="dxa"/>
            <w:tcMar>
              <w:top w:w="0" w:type="dxa"/>
              <w:bottom w:w="0" w:type="dxa"/>
            </w:tcMar>
            <w:vAlign w:val="center"/>
          </w:tcPr>
          <w:p w14:paraId="1A77DE37" w14:textId="77777777" w:rsidR="00F14EF0" w:rsidRDefault="00AB54D4">
            <w:pPr>
              <w:keepNext/>
              <w:keepLines/>
              <w:spacing w:after="0" w:line="240" w:lineRule="auto"/>
            </w:pPr>
            <w:r>
              <w:rPr>
                <w:sz w:val="18"/>
              </w:rPr>
              <w:t>Izvanbilančni zapisi - aktiva (šifra 996)</w:t>
            </w:r>
          </w:p>
        </w:tc>
        <w:tc>
          <w:tcPr>
            <w:tcW w:w="700" w:type="dxa"/>
            <w:tcMar>
              <w:top w:w="0" w:type="dxa"/>
              <w:bottom w:w="0" w:type="dxa"/>
            </w:tcMar>
            <w:vAlign w:val="center"/>
          </w:tcPr>
          <w:p w14:paraId="0394A15A" w14:textId="77777777" w:rsidR="00F14EF0" w:rsidRDefault="00AB54D4">
            <w:pPr>
              <w:keepNext/>
              <w:keepLines/>
              <w:spacing w:after="0" w:line="240" w:lineRule="auto"/>
            </w:pPr>
            <w:r>
              <w:rPr>
                <w:sz w:val="18"/>
              </w:rPr>
              <w:t>991</w:t>
            </w:r>
          </w:p>
        </w:tc>
        <w:tc>
          <w:tcPr>
            <w:tcW w:w="1860" w:type="dxa"/>
            <w:tcMar>
              <w:top w:w="0" w:type="dxa"/>
              <w:bottom w:w="0" w:type="dxa"/>
            </w:tcMar>
            <w:vAlign w:val="center"/>
          </w:tcPr>
          <w:p w14:paraId="77FEA41A" w14:textId="77777777" w:rsidR="00F14EF0" w:rsidRDefault="00AB54D4">
            <w:pPr>
              <w:keepNext/>
              <w:keepLines/>
              <w:spacing w:after="0" w:line="240" w:lineRule="auto"/>
              <w:jc w:val="right"/>
            </w:pPr>
            <w:r>
              <w:rPr>
                <w:sz w:val="18"/>
              </w:rPr>
              <w:t>297.844,67</w:t>
            </w:r>
          </w:p>
        </w:tc>
        <w:tc>
          <w:tcPr>
            <w:tcW w:w="1860" w:type="dxa"/>
            <w:tcMar>
              <w:top w:w="0" w:type="dxa"/>
              <w:bottom w:w="0" w:type="dxa"/>
            </w:tcMar>
            <w:vAlign w:val="center"/>
          </w:tcPr>
          <w:p w14:paraId="7EEA724D" w14:textId="77777777" w:rsidR="00F14EF0" w:rsidRDefault="00AB54D4">
            <w:pPr>
              <w:keepNext/>
              <w:keepLines/>
              <w:spacing w:after="0" w:line="240" w:lineRule="auto"/>
              <w:jc w:val="right"/>
            </w:pPr>
            <w:r>
              <w:rPr>
                <w:sz w:val="18"/>
              </w:rPr>
              <w:t>36.588.527,27</w:t>
            </w:r>
          </w:p>
        </w:tc>
        <w:tc>
          <w:tcPr>
            <w:tcW w:w="700" w:type="dxa"/>
            <w:tcMar>
              <w:top w:w="0" w:type="dxa"/>
              <w:bottom w:w="0" w:type="dxa"/>
            </w:tcMar>
            <w:vAlign w:val="center"/>
          </w:tcPr>
          <w:p w14:paraId="032FF3BB" w14:textId="77777777" w:rsidR="00F14EF0" w:rsidRDefault="00AB54D4">
            <w:pPr>
              <w:keepNext/>
              <w:keepLines/>
              <w:spacing w:after="0" w:line="240" w:lineRule="auto"/>
              <w:jc w:val="right"/>
            </w:pPr>
            <w:r>
              <w:rPr>
                <w:sz w:val="18"/>
              </w:rPr>
              <w:t>&gt;&gt;100</w:t>
            </w:r>
          </w:p>
        </w:tc>
      </w:tr>
    </w:tbl>
    <w:p w14:paraId="36AFE1BC" w14:textId="77777777" w:rsidR="00F14EF0" w:rsidRDefault="00F14EF0">
      <w:pPr>
        <w:spacing w:after="0"/>
      </w:pPr>
    </w:p>
    <w:p w14:paraId="1473C829" w14:textId="77777777" w:rsidR="00F14EF0" w:rsidRDefault="00AB54D4">
      <w:r>
        <w:t>Izvanbilančni zapisi povećani su u odnosu na 2024. godinu radi novih evidencija i to za potencijalne obveze po osnovi sudskih sporova u tijeku; preuzete obveze po ugovorima o nabavi roba, radova i usluga; potraživanja po ugovorima o dodijeljenim bespovratnim sredstvima iz EU fondova.</w:t>
      </w:r>
    </w:p>
    <w:p w14:paraId="38D27EB9" w14:textId="77777777" w:rsidR="00F14EF0" w:rsidRDefault="00F14EF0"/>
    <w:p w14:paraId="7E545106" w14:textId="77777777" w:rsidR="00F14EF0" w:rsidRDefault="00AB54D4">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4EF0" w14:paraId="192F2B8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B560E0" w14:textId="77777777" w:rsidR="00F14EF0" w:rsidRDefault="00AB54D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521111" w14:textId="77777777" w:rsidR="00F14EF0" w:rsidRDefault="00AB54D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65B302" w14:textId="77777777" w:rsidR="00F14EF0" w:rsidRDefault="00AB54D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913AE8" w14:textId="77777777" w:rsidR="00F14EF0" w:rsidRDefault="00AB54D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58D8E55" w14:textId="77777777" w:rsidR="00F14EF0" w:rsidRDefault="00AB54D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29A0142" w14:textId="77777777" w:rsidR="00F14EF0" w:rsidRDefault="00AB54D4">
            <w:pPr>
              <w:keepNext/>
              <w:keepLines/>
              <w:spacing w:after="0" w:line="240" w:lineRule="auto"/>
              <w:jc w:val="center"/>
            </w:pPr>
            <w:r>
              <w:rPr>
                <w:b/>
                <w:sz w:val="18"/>
              </w:rPr>
              <w:t>Indeks (%)</w:t>
            </w:r>
          </w:p>
        </w:tc>
      </w:tr>
      <w:tr w:rsidR="00F14EF0" w14:paraId="2E6501B6" w14:textId="77777777">
        <w:tblPrEx>
          <w:tblCellMar>
            <w:top w:w="0" w:type="dxa"/>
            <w:bottom w:w="0" w:type="dxa"/>
          </w:tblCellMar>
        </w:tblPrEx>
        <w:trPr>
          <w:cantSplit/>
          <w:trHeight w:val="560"/>
        </w:trPr>
        <w:tc>
          <w:tcPr>
            <w:tcW w:w="700" w:type="dxa"/>
            <w:tcMar>
              <w:top w:w="0" w:type="dxa"/>
              <w:bottom w:w="0" w:type="dxa"/>
            </w:tcMar>
            <w:vAlign w:val="center"/>
          </w:tcPr>
          <w:p w14:paraId="41A598E8" w14:textId="77777777" w:rsidR="00F14EF0" w:rsidRDefault="00AB54D4">
            <w:pPr>
              <w:keepNext/>
              <w:keepLines/>
              <w:spacing w:after="0" w:line="240" w:lineRule="auto"/>
            </w:pPr>
            <w:r>
              <w:rPr>
                <w:sz w:val="18"/>
              </w:rPr>
              <w:t>996</w:t>
            </w:r>
          </w:p>
        </w:tc>
        <w:tc>
          <w:tcPr>
            <w:tcW w:w="3180" w:type="dxa"/>
            <w:tcMar>
              <w:top w:w="0" w:type="dxa"/>
              <w:bottom w:w="0" w:type="dxa"/>
            </w:tcMar>
            <w:vAlign w:val="center"/>
          </w:tcPr>
          <w:p w14:paraId="08E7E556" w14:textId="77777777" w:rsidR="00F14EF0" w:rsidRDefault="00AB54D4">
            <w:pPr>
              <w:keepNext/>
              <w:keepLines/>
              <w:spacing w:after="0" w:line="240" w:lineRule="auto"/>
            </w:pPr>
            <w:r>
              <w:rPr>
                <w:sz w:val="18"/>
              </w:rPr>
              <w:t>Izvanbilančni zapisi - pasiva</w:t>
            </w:r>
          </w:p>
        </w:tc>
        <w:tc>
          <w:tcPr>
            <w:tcW w:w="700" w:type="dxa"/>
            <w:tcMar>
              <w:top w:w="0" w:type="dxa"/>
              <w:bottom w:w="0" w:type="dxa"/>
            </w:tcMar>
            <w:vAlign w:val="center"/>
          </w:tcPr>
          <w:p w14:paraId="4355BAAE" w14:textId="77777777" w:rsidR="00F14EF0" w:rsidRDefault="00AB54D4">
            <w:pPr>
              <w:keepNext/>
              <w:keepLines/>
              <w:spacing w:after="0" w:line="240" w:lineRule="auto"/>
            </w:pPr>
            <w:r>
              <w:rPr>
                <w:sz w:val="18"/>
              </w:rPr>
              <w:t>996</w:t>
            </w:r>
          </w:p>
        </w:tc>
        <w:tc>
          <w:tcPr>
            <w:tcW w:w="1860" w:type="dxa"/>
            <w:tcMar>
              <w:top w:w="0" w:type="dxa"/>
              <w:bottom w:w="0" w:type="dxa"/>
            </w:tcMar>
            <w:vAlign w:val="center"/>
          </w:tcPr>
          <w:p w14:paraId="4AE78605" w14:textId="77777777" w:rsidR="00F14EF0" w:rsidRDefault="00AB54D4">
            <w:pPr>
              <w:keepNext/>
              <w:keepLines/>
              <w:spacing w:after="0" w:line="240" w:lineRule="auto"/>
              <w:jc w:val="right"/>
            </w:pPr>
            <w:r>
              <w:rPr>
                <w:sz w:val="18"/>
              </w:rPr>
              <w:t>297.844,67</w:t>
            </w:r>
          </w:p>
        </w:tc>
        <w:tc>
          <w:tcPr>
            <w:tcW w:w="1860" w:type="dxa"/>
            <w:tcMar>
              <w:top w:w="0" w:type="dxa"/>
              <w:bottom w:w="0" w:type="dxa"/>
            </w:tcMar>
            <w:vAlign w:val="center"/>
          </w:tcPr>
          <w:p w14:paraId="2F0D3B5E" w14:textId="77777777" w:rsidR="00F14EF0" w:rsidRDefault="00AB54D4">
            <w:pPr>
              <w:keepNext/>
              <w:keepLines/>
              <w:spacing w:after="0" w:line="240" w:lineRule="auto"/>
              <w:jc w:val="right"/>
            </w:pPr>
            <w:r>
              <w:rPr>
                <w:sz w:val="18"/>
              </w:rPr>
              <w:t>36.588.527,27</w:t>
            </w:r>
          </w:p>
        </w:tc>
        <w:tc>
          <w:tcPr>
            <w:tcW w:w="700" w:type="dxa"/>
            <w:tcMar>
              <w:top w:w="0" w:type="dxa"/>
              <w:bottom w:w="0" w:type="dxa"/>
            </w:tcMar>
            <w:vAlign w:val="center"/>
          </w:tcPr>
          <w:p w14:paraId="29AB5EEA" w14:textId="77777777" w:rsidR="00F14EF0" w:rsidRDefault="00AB54D4">
            <w:pPr>
              <w:keepNext/>
              <w:keepLines/>
              <w:spacing w:after="0" w:line="240" w:lineRule="auto"/>
              <w:jc w:val="right"/>
            </w:pPr>
            <w:r>
              <w:rPr>
                <w:sz w:val="18"/>
              </w:rPr>
              <w:t>&gt;&gt;100</w:t>
            </w:r>
          </w:p>
        </w:tc>
      </w:tr>
    </w:tbl>
    <w:p w14:paraId="73FF80A0" w14:textId="77777777" w:rsidR="00F14EF0" w:rsidRDefault="00F14EF0">
      <w:pPr>
        <w:spacing w:after="0"/>
      </w:pPr>
    </w:p>
    <w:p w14:paraId="2BF66E57" w14:textId="77777777" w:rsidR="00F14EF0" w:rsidRDefault="00AB54D4">
      <w:r>
        <w:t>Izvanbilančni zapisi povećani su u odnosu na 2024. godinu radi novih evidencija i to za potencijalne obveze po osnovi sudskih sporova u tijeku; preuzete obveze po ugovorima o nabavi roba, radova i usluga; preuzete obveze po ugovorima o dodjeli bespovratnih sredstvima iz EU fondova.</w:t>
      </w:r>
    </w:p>
    <w:p w14:paraId="27F3CEF5" w14:textId="77777777" w:rsidR="00F14EF0" w:rsidRDefault="00F14EF0"/>
    <w:p w14:paraId="4F574E31" w14:textId="77777777" w:rsidR="00F14EF0" w:rsidRDefault="00AB54D4">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4EF0" w14:paraId="61B3096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5F88B0" w14:textId="77777777" w:rsidR="00F14EF0" w:rsidRDefault="00AB54D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0BAE70" w14:textId="77777777" w:rsidR="00F14EF0" w:rsidRDefault="00AB54D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2FEB1C" w14:textId="77777777" w:rsidR="00F14EF0" w:rsidRDefault="00AB54D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5B64A5" w14:textId="77777777" w:rsidR="00F14EF0" w:rsidRDefault="00AB54D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430CEC1" w14:textId="77777777" w:rsidR="00F14EF0" w:rsidRDefault="00AB54D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F78A086" w14:textId="77777777" w:rsidR="00F14EF0" w:rsidRDefault="00AB54D4">
            <w:pPr>
              <w:keepNext/>
              <w:keepLines/>
              <w:spacing w:after="0" w:line="240" w:lineRule="auto"/>
              <w:jc w:val="center"/>
            </w:pPr>
            <w:r>
              <w:rPr>
                <w:b/>
                <w:sz w:val="18"/>
              </w:rPr>
              <w:t>Indeks (%)</w:t>
            </w:r>
          </w:p>
        </w:tc>
      </w:tr>
      <w:tr w:rsidR="00F14EF0" w14:paraId="2CB7E470" w14:textId="77777777">
        <w:tblPrEx>
          <w:tblCellMar>
            <w:top w:w="0" w:type="dxa"/>
            <w:bottom w:w="0" w:type="dxa"/>
          </w:tblCellMar>
        </w:tblPrEx>
        <w:trPr>
          <w:cantSplit/>
          <w:trHeight w:val="560"/>
        </w:trPr>
        <w:tc>
          <w:tcPr>
            <w:tcW w:w="700" w:type="dxa"/>
            <w:tcMar>
              <w:top w:w="0" w:type="dxa"/>
              <w:bottom w:w="0" w:type="dxa"/>
            </w:tcMar>
            <w:vAlign w:val="center"/>
          </w:tcPr>
          <w:p w14:paraId="2C7D5EC9" w14:textId="77777777" w:rsidR="00F14EF0" w:rsidRDefault="00AB54D4">
            <w:pPr>
              <w:keepNext/>
              <w:keepLines/>
              <w:spacing w:after="0" w:line="240" w:lineRule="auto"/>
            </w:pPr>
            <w:r>
              <w:rPr>
                <w:sz w:val="18"/>
              </w:rPr>
              <w:t>12911</w:t>
            </w:r>
          </w:p>
        </w:tc>
        <w:tc>
          <w:tcPr>
            <w:tcW w:w="3180" w:type="dxa"/>
            <w:tcMar>
              <w:top w:w="0" w:type="dxa"/>
              <w:bottom w:w="0" w:type="dxa"/>
            </w:tcMar>
            <w:vAlign w:val="center"/>
          </w:tcPr>
          <w:p w14:paraId="60AA03BC" w14:textId="77777777" w:rsidR="00F14EF0" w:rsidRDefault="00AB54D4">
            <w:pPr>
              <w:keepNext/>
              <w:keepLines/>
              <w:spacing w:after="0" w:line="240" w:lineRule="auto"/>
            </w:pPr>
            <w:r>
              <w:rPr>
                <w:sz w:val="18"/>
              </w:rPr>
              <w:t>Potraživanja za naknade koje se refundiraju</w:t>
            </w:r>
          </w:p>
        </w:tc>
        <w:tc>
          <w:tcPr>
            <w:tcW w:w="700" w:type="dxa"/>
            <w:tcMar>
              <w:top w:w="0" w:type="dxa"/>
              <w:bottom w:w="0" w:type="dxa"/>
            </w:tcMar>
            <w:vAlign w:val="center"/>
          </w:tcPr>
          <w:p w14:paraId="755E1E68" w14:textId="77777777" w:rsidR="00F14EF0" w:rsidRDefault="00AB54D4">
            <w:pPr>
              <w:keepNext/>
              <w:keepLines/>
              <w:spacing w:after="0" w:line="240" w:lineRule="auto"/>
            </w:pPr>
            <w:r>
              <w:rPr>
                <w:sz w:val="18"/>
              </w:rPr>
              <w:t>12911</w:t>
            </w:r>
          </w:p>
        </w:tc>
        <w:tc>
          <w:tcPr>
            <w:tcW w:w="1860" w:type="dxa"/>
            <w:tcMar>
              <w:top w:w="0" w:type="dxa"/>
              <w:bottom w:w="0" w:type="dxa"/>
            </w:tcMar>
            <w:vAlign w:val="center"/>
          </w:tcPr>
          <w:p w14:paraId="36C17730" w14:textId="77777777" w:rsidR="00F14EF0" w:rsidRDefault="00AB54D4">
            <w:pPr>
              <w:keepNext/>
              <w:keepLines/>
              <w:spacing w:after="0" w:line="240" w:lineRule="auto"/>
              <w:jc w:val="right"/>
            </w:pPr>
            <w:r>
              <w:rPr>
                <w:sz w:val="18"/>
              </w:rPr>
              <w:t>3.989,66</w:t>
            </w:r>
          </w:p>
        </w:tc>
        <w:tc>
          <w:tcPr>
            <w:tcW w:w="1860" w:type="dxa"/>
            <w:tcMar>
              <w:top w:w="0" w:type="dxa"/>
              <w:bottom w:w="0" w:type="dxa"/>
            </w:tcMar>
            <w:vAlign w:val="center"/>
          </w:tcPr>
          <w:p w14:paraId="37064C92" w14:textId="77777777" w:rsidR="00F14EF0" w:rsidRDefault="00AB54D4">
            <w:pPr>
              <w:keepNext/>
              <w:keepLines/>
              <w:spacing w:after="0" w:line="240" w:lineRule="auto"/>
              <w:jc w:val="right"/>
            </w:pPr>
            <w:r>
              <w:rPr>
                <w:sz w:val="18"/>
              </w:rPr>
              <w:t>15.195,71</w:t>
            </w:r>
          </w:p>
        </w:tc>
        <w:tc>
          <w:tcPr>
            <w:tcW w:w="700" w:type="dxa"/>
            <w:tcMar>
              <w:top w:w="0" w:type="dxa"/>
              <w:bottom w:w="0" w:type="dxa"/>
            </w:tcMar>
            <w:vAlign w:val="center"/>
          </w:tcPr>
          <w:p w14:paraId="07B4589B" w14:textId="77777777" w:rsidR="00F14EF0" w:rsidRDefault="00AB54D4">
            <w:pPr>
              <w:keepNext/>
              <w:keepLines/>
              <w:spacing w:after="0" w:line="240" w:lineRule="auto"/>
              <w:jc w:val="right"/>
            </w:pPr>
            <w:r>
              <w:rPr>
                <w:sz w:val="18"/>
              </w:rPr>
              <w:t>380,9</w:t>
            </w:r>
          </w:p>
        </w:tc>
      </w:tr>
    </w:tbl>
    <w:p w14:paraId="25C36405" w14:textId="77777777" w:rsidR="00F14EF0" w:rsidRDefault="00F14EF0">
      <w:pPr>
        <w:spacing w:after="0"/>
      </w:pPr>
    </w:p>
    <w:p w14:paraId="53E0EAA8" w14:textId="77777777" w:rsidR="00F14EF0" w:rsidRDefault="00AB54D4">
      <w:r>
        <w:t>Potraživanje od HZZO-a za bolovanje. u 2025. godini zabilježen je porast bolovanja djelatnika u odnosu na 2024. godinu.</w:t>
      </w:r>
    </w:p>
    <w:p w14:paraId="76971CE0" w14:textId="77777777" w:rsidR="00F14EF0" w:rsidRDefault="00F14EF0"/>
    <w:p w14:paraId="1E3BA228" w14:textId="77777777" w:rsidR="00F14EF0" w:rsidRDefault="00AB54D4">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4EF0" w14:paraId="6EBAB90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C897D8" w14:textId="77777777" w:rsidR="00F14EF0" w:rsidRDefault="00AB54D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7625F7" w14:textId="77777777" w:rsidR="00F14EF0" w:rsidRDefault="00AB54D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9B4F2C" w14:textId="77777777" w:rsidR="00F14EF0" w:rsidRDefault="00AB54D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3907AD" w14:textId="77777777" w:rsidR="00F14EF0" w:rsidRDefault="00AB54D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CE856A2" w14:textId="77777777" w:rsidR="00F14EF0" w:rsidRDefault="00AB54D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8506189" w14:textId="77777777" w:rsidR="00F14EF0" w:rsidRDefault="00AB54D4">
            <w:pPr>
              <w:keepNext/>
              <w:keepLines/>
              <w:spacing w:after="0" w:line="240" w:lineRule="auto"/>
              <w:jc w:val="center"/>
            </w:pPr>
            <w:r>
              <w:rPr>
                <w:b/>
                <w:sz w:val="18"/>
              </w:rPr>
              <w:t>Indeks (%)</w:t>
            </w:r>
          </w:p>
        </w:tc>
      </w:tr>
      <w:tr w:rsidR="00F14EF0" w14:paraId="1FD3691D" w14:textId="77777777">
        <w:tblPrEx>
          <w:tblCellMar>
            <w:top w:w="0" w:type="dxa"/>
            <w:bottom w:w="0" w:type="dxa"/>
          </w:tblCellMar>
        </w:tblPrEx>
        <w:trPr>
          <w:cantSplit/>
          <w:trHeight w:val="560"/>
        </w:trPr>
        <w:tc>
          <w:tcPr>
            <w:tcW w:w="700" w:type="dxa"/>
            <w:tcMar>
              <w:top w:w="0" w:type="dxa"/>
              <w:bottom w:w="0" w:type="dxa"/>
            </w:tcMar>
            <w:vAlign w:val="center"/>
          </w:tcPr>
          <w:p w14:paraId="0C5A4AB2" w14:textId="77777777" w:rsidR="00F14EF0" w:rsidRDefault="00AB54D4">
            <w:pPr>
              <w:keepNext/>
              <w:keepLines/>
              <w:spacing w:after="0" w:line="240" w:lineRule="auto"/>
            </w:pPr>
            <w:r>
              <w:rPr>
                <w:sz w:val="18"/>
              </w:rPr>
              <w:t>dio 23</w:t>
            </w:r>
          </w:p>
        </w:tc>
        <w:tc>
          <w:tcPr>
            <w:tcW w:w="3180" w:type="dxa"/>
            <w:tcMar>
              <w:top w:w="0" w:type="dxa"/>
              <w:bottom w:w="0" w:type="dxa"/>
            </w:tcMar>
            <w:vAlign w:val="center"/>
          </w:tcPr>
          <w:p w14:paraId="7EF044D5" w14:textId="77777777" w:rsidR="00F14EF0" w:rsidRDefault="00AB54D4">
            <w:pPr>
              <w:keepNext/>
              <w:keepLines/>
              <w:spacing w:after="0" w:line="240" w:lineRule="auto"/>
            </w:pPr>
            <w:r>
              <w:rPr>
                <w:sz w:val="18"/>
              </w:rPr>
              <w:t>Obveze za rashode poslovanja - nedospjele</w:t>
            </w:r>
          </w:p>
        </w:tc>
        <w:tc>
          <w:tcPr>
            <w:tcW w:w="700" w:type="dxa"/>
            <w:tcMar>
              <w:top w:w="0" w:type="dxa"/>
              <w:bottom w:w="0" w:type="dxa"/>
            </w:tcMar>
            <w:vAlign w:val="center"/>
          </w:tcPr>
          <w:p w14:paraId="628DAC18" w14:textId="77777777" w:rsidR="00F14EF0" w:rsidRDefault="00AB54D4">
            <w:pPr>
              <w:keepNext/>
              <w:keepLines/>
              <w:spacing w:after="0" w:line="240" w:lineRule="auto"/>
            </w:pPr>
            <w:r>
              <w:rPr>
                <w:sz w:val="18"/>
              </w:rPr>
              <w:t>dio 23 N</w:t>
            </w:r>
          </w:p>
        </w:tc>
        <w:tc>
          <w:tcPr>
            <w:tcW w:w="1860" w:type="dxa"/>
            <w:tcMar>
              <w:top w:w="0" w:type="dxa"/>
              <w:bottom w:w="0" w:type="dxa"/>
            </w:tcMar>
            <w:vAlign w:val="center"/>
          </w:tcPr>
          <w:p w14:paraId="700FF35A" w14:textId="77777777" w:rsidR="00F14EF0" w:rsidRDefault="00AB54D4">
            <w:pPr>
              <w:keepNext/>
              <w:keepLines/>
              <w:spacing w:after="0" w:line="240" w:lineRule="auto"/>
              <w:jc w:val="right"/>
            </w:pPr>
            <w:r>
              <w:rPr>
                <w:sz w:val="18"/>
              </w:rPr>
              <w:t>488.502,38</w:t>
            </w:r>
          </w:p>
        </w:tc>
        <w:tc>
          <w:tcPr>
            <w:tcW w:w="1860" w:type="dxa"/>
            <w:tcMar>
              <w:top w:w="0" w:type="dxa"/>
              <w:bottom w:w="0" w:type="dxa"/>
            </w:tcMar>
            <w:vAlign w:val="center"/>
          </w:tcPr>
          <w:p w14:paraId="2EF7AD58" w14:textId="77777777" w:rsidR="00F14EF0" w:rsidRDefault="00AB54D4">
            <w:pPr>
              <w:keepNext/>
              <w:keepLines/>
              <w:spacing w:after="0" w:line="240" w:lineRule="auto"/>
              <w:jc w:val="right"/>
            </w:pPr>
            <w:r>
              <w:rPr>
                <w:sz w:val="18"/>
              </w:rPr>
              <w:t>499.378,56</w:t>
            </w:r>
          </w:p>
        </w:tc>
        <w:tc>
          <w:tcPr>
            <w:tcW w:w="700" w:type="dxa"/>
            <w:tcMar>
              <w:top w:w="0" w:type="dxa"/>
              <w:bottom w:w="0" w:type="dxa"/>
            </w:tcMar>
            <w:vAlign w:val="center"/>
          </w:tcPr>
          <w:p w14:paraId="6EC1E74D" w14:textId="77777777" w:rsidR="00F14EF0" w:rsidRDefault="00AB54D4">
            <w:pPr>
              <w:keepNext/>
              <w:keepLines/>
              <w:spacing w:after="0" w:line="240" w:lineRule="auto"/>
              <w:jc w:val="right"/>
            </w:pPr>
            <w:r>
              <w:rPr>
                <w:sz w:val="18"/>
              </w:rPr>
              <w:t>102,2</w:t>
            </w:r>
          </w:p>
        </w:tc>
      </w:tr>
    </w:tbl>
    <w:p w14:paraId="0C7445FF" w14:textId="77777777" w:rsidR="00F14EF0" w:rsidRDefault="00F14EF0">
      <w:pPr>
        <w:spacing w:after="0"/>
      </w:pPr>
    </w:p>
    <w:p w14:paraId="63ADED8C" w14:textId="77777777" w:rsidR="00F14EF0" w:rsidRDefault="00AB54D4">
      <w:r>
        <w:t>Unutar ove stavke evidentirana je plaća za prosinac 2025. godine.</w:t>
      </w:r>
    </w:p>
    <w:p w14:paraId="227F109E" w14:textId="77777777" w:rsidR="00F14EF0" w:rsidRDefault="00F14EF0"/>
    <w:p w14:paraId="7FAD416E" w14:textId="77777777" w:rsidR="00F14EF0" w:rsidRDefault="00AB54D4">
      <w:pPr>
        <w:keepNext/>
        <w:spacing w:line="240" w:lineRule="auto"/>
        <w:jc w:val="center"/>
      </w:pPr>
      <w:r>
        <w:rPr>
          <w:b/>
          <w:sz w:val="28"/>
        </w:rPr>
        <w:t>Izvještaj o rashodima prema funkcijskoj klasifikaciji</w:t>
      </w:r>
    </w:p>
    <w:p w14:paraId="34B41678" w14:textId="77777777" w:rsidR="00F14EF0" w:rsidRDefault="00AB54D4">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4EF0" w14:paraId="099C518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CEB6A8" w14:textId="77777777" w:rsidR="00F14EF0" w:rsidRDefault="00AB54D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424CA8" w14:textId="77777777" w:rsidR="00F14EF0" w:rsidRDefault="00AB54D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83AC29" w14:textId="77777777" w:rsidR="00F14EF0" w:rsidRDefault="00AB54D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7086A5" w14:textId="77777777" w:rsidR="00F14EF0" w:rsidRDefault="00AB54D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EA5B67" w14:textId="77777777" w:rsidR="00F14EF0" w:rsidRDefault="00AB54D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C17B1A" w14:textId="77777777" w:rsidR="00F14EF0" w:rsidRDefault="00AB54D4">
            <w:pPr>
              <w:keepNext/>
              <w:keepLines/>
              <w:spacing w:after="0" w:line="240" w:lineRule="auto"/>
              <w:jc w:val="center"/>
            </w:pPr>
            <w:r>
              <w:rPr>
                <w:b/>
                <w:sz w:val="18"/>
              </w:rPr>
              <w:t>Indeks (%)</w:t>
            </w:r>
          </w:p>
        </w:tc>
      </w:tr>
      <w:tr w:rsidR="00F14EF0" w14:paraId="27CA5DED" w14:textId="77777777">
        <w:tblPrEx>
          <w:tblCellMar>
            <w:top w:w="0" w:type="dxa"/>
            <w:bottom w:w="0" w:type="dxa"/>
          </w:tblCellMar>
        </w:tblPrEx>
        <w:trPr>
          <w:cantSplit/>
          <w:trHeight w:val="560"/>
        </w:trPr>
        <w:tc>
          <w:tcPr>
            <w:tcW w:w="700" w:type="dxa"/>
            <w:tcMar>
              <w:top w:w="0" w:type="dxa"/>
              <w:bottom w:w="0" w:type="dxa"/>
            </w:tcMar>
            <w:vAlign w:val="center"/>
          </w:tcPr>
          <w:p w14:paraId="4CEFE9DA" w14:textId="77777777" w:rsidR="00F14EF0" w:rsidRDefault="00AB54D4">
            <w:pPr>
              <w:keepNext/>
              <w:keepLines/>
              <w:spacing w:after="0" w:line="240" w:lineRule="auto"/>
            </w:pPr>
            <w:r>
              <w:rPr>
                <w:sz w:val="18"/>
              </w:rPr>
              <w:t>09</w:t>
            </w:r>
          </w:p>
        </w:tc>
        <w:tc>
          <w:tcPr>
            <w:tcW w:w="3180" w:type="dxa"/>
            <w:tcMar>
              <w:top w:w="0" w:type="dxa"/>
              <w:bottom w:w="0" w:type="dxa"/>
            </w:tcMar>
            <w:vAlign w:val="center"/>
          </w:tcPr>
          <w:p w14:paraId="2AEB332D" w14:textId="77777777" w:rsidR="00F14EF0" w:rsidRDefault="00AB54D4">
            <w:pPr>
              <w:keepNext/>
              <w:keepLines/>
              <w:spacing w:after="0" w:line="240" w:lineRule="auto"/>
            </w:pPr>
            <w:r>
              <w:rPr>
                <w:sz w:val="18"/>
              </w:rPr>
              <w:t>Obrazovanje (šifre 091+092+093+094+095+096+097+098)</w:t>
            </w:r>
          </w:p>
        </w:tc>
        <w:tc>
          <w:tcPr>
            <w:tcW w:w="700" w:type="dxa"/>
            <w:tcMar>
              <w:top w:w="0" w:type="dxa"/>
              <w:bottom w:w="0" w:type="dxa"/>
            </w:tcMar>
            <w:vAlign w:val="center"/>
          </w:tcPr>
          <w:p w14:paraId="1C171D2B" w14:textId="77777777" w:rsidR="00F14EF0" w:rsidRDefault="00AB54D4">
            <w:pPr>
              <w:keepNext/>
              <w:keepLines/>
              <w:spacing w:after="0" w:line="240" w:lineRule="auto"/>
            </w:pPr>
            <w:r>
              <w:rPr>
                <w:sz w:val="18"/>
              </w:rPr>
              <w:t>09</w:t>
            </w:r>
          </w:p>
        </w:tc>
        <w:tc>
          <w:tcPr>
            <w:tcW w:w="1860" w:type="dxa"/>
            <w:tcMar>
              <w:top w:w="0" w:type="dxa"/>
              <w:bottom w:w="0" w:type="dxa"/>
            </w:tcMar>
            <w:vAlign w:val="center"/>
          </w:tcPr>
          <w:p w14:paraId="3DC6A99A" w14:textId="77777777" w:rsidR="00F14EF0" w:rsidRDefault="00AB54D4">
            <w:pPr>
              <w:keepNext/>
              <w:keepLines/>
              <w:spacing w:after="0" w:line="240" w:lineRule="auto"/>
              <w:jc w:val="right"/>
            </w:pPr>
            <w:r>
              <w:rPr>
                <w:sz w:val="18"/>
              </w:rPr>
              <w:t>9.724.662,45</w:t>
            </w:r>
          </w:p>
        </w:tc>
        <w:tc>
          <w:tcPr>
            <w:tcW w:w="1860" w:type="dxa"/>
            <w:tcMar>
              <w:top w:w="0" w:type="dxa"/>
              <w:bottom w:w="0" w:type="dxa"/>
            </w:tcMar>
            <w:vAlign w:val="center"/>
          </w:tcPr>
          <w:p w14:paraId="09654E84" w14:textId="77777777" w:rsidR="00F14EF0" w:rsidRDefault="00AB54D4">
            <w:pPr>
              <w:keepNext/>
              <w:keepLines/>
              <w:spacing w:after="0" w:line="240" w:lineRule="auto"/>
              <w:jc w:val="right"/>
            </w:pPr>
            <w:r>
              <w:rPr>
                <w:sz w:val="18"/>
              </w:rPr>
              <w:t>12.915.174,98</w:t>
            </w:r>
          </w:p>
        </w:tc>
        <w:tc>
          <w:tcPr>
            <w:tcW w:w="700" w:type="dxa"/>
            <w:tcMar>
              <w:top w:w="0" w:type="dxa"/>
              <w:bottom w:w="0" w:type="dxa"/>
            </w:tcMar>
            <w:vAlign w:val="center"/>
          </w:tcPr>
          <w:p w14:paraId="0E81E211" w14:textId="77777777" w:rsidR="00F14EF0" w:rsidRDefault="00AB54D4">
            <w:pPr>
              <w:keepNext/>
              <w:keepLines/>
              <w:spacing w:after="0" w:line="240" w:lineRule="auto"/>
              <w:jc w:val="right"/>
            </w:pPr>
            <w:r>
              <w:rPr>
                <w:sz w:val="18"/>
              </w:rPr>
              <w:t>132,8</w:t>
            </w:r>
          </w:p>
        </w:tc>
      </w:tr>
    </w:tbl>
    <w:p w14:paraId="198205F9" w14:textId="77777777" w:rsidR="00F14EF0" w:rsidRDefault="00F14EF0">
      <w:pPr>
        <w:spacing w:after="0"/>
      </w:pPr>
    </w:p>
    <w:p w14:paraId="2C2BCFC4" w14:textId="77777777" w:rsidR="00F14EF0" w:rsidRDefault="00AB54D4">
      <w:r>
        <w:t>Agencija za strukovno obrazovanje i obrazovanje odraslih osnovana je Zakonom o Agenciji za strukovno obrazovanje i obrazovanje odraslih (Narodne novine, broj, 24/10.).  Osnivač Agencije je Republika Hrvatska, a prava i dužnosti osnivača obavlja ministarstvo mjerodavno za poslove obrazovanja.</w:t>
      </w:r>
    </w:p>
    <w:p w14:paraId="27CE4F6C" w14:textId="77777777" w:rsidR="00F14EF0" w:rsidRDefault="00AB54D4">
      <w:r>
        <w:t>Djelatnost Agencije su poslovi planiranja, razvijanja, organiziranja, provedbe, praćenja i unapređivanja sustava strukovnog obrazovanja i obrazovanja odraslih.</w:t>
      </w:r>
    </w:p>
    <w:p w14:paraId="30C9A512" w14:textId="77777777" w:rsidR="00F14EF0" w:rsidRDefault="00AB54D4">
      <w:r>
        <w:t>Vizija:</w:t>
      </w:r>
      <w:r>
        <w:br/>
        <w:t>Dostupan, fleksibilan i prohodan sustav strukovnog obrazovanja i obrazovanja odraslih, temeljen na kompetencijama, u funkciji potreba svakoga pojedinca i društva, nositelj razvoja hrvatskoga gospodarstva i veće zapošljivosti.</w:t>
      </w:r>
      <w:r>
        <w:br/>
      </w:r>
      <w:r>
        <w:lastRenderedPageBreak/>
        <w:t>Misija:</w:t>
      </w:r>
      <w:r>
        <w:br/>
        <w:t>Naša je misija obrazovanje učiniti najsnažnijim korijenom osobnoga rasta i uspjeha.</w:t>
      </w:r>
    </w:p>
    <w:p w14:paraId="42CE7E47" w14:textId="77777777" w:rsidR="00F14EF0" w:rsidRDefault="00AB54D4">
      <w:r>
        <w:t>Strateški ciljevi:</w:t>
      </w:r>
    </w:p>
    <w:p w14:paraId="06CF425D" w14:textId="77777777" w:rsidR="00F14EF0" w:rsidRDefault="00AB54D4">
      <w:pPr>
        <w:pStyle w:val="ListParagraph"/>
        <w:numPr>
          <w:ilvl w:val="0"/>
          <w:numId w:val="1"/>
        </w:numPr>
      </w:pPr>
      <w:r>
        <w:t>razviti kvalifikacije temeljene na kompetencijama i rezultatima učenja</w:t>
      </w:r>
    </w:p>
    <w:p w14:paraId="583191B9" w14:textId="77777777" w:rsidR="00F14EF0" w:rsidRDefault="00AB54D4">
      <w:pPr>
        <w:pStyle w:val="ListParagraph"/>
        <w:numPr>
          <w:ilvl w:val="0"/>
          <w:numId w:val="1"/>
        </w:numPr>
      </w:pPr>
      <w:r>
        <w:t>trajno usklađivati obrazovanje s potrebama tržišta rada</w:t>
      </w:r>
    </w:p>
    <w:p w14:paraId="00B038EF" w14:textId="77777777" w:rsidR="00F14EF0" w:rsidRDefault="00AB54D4">
      <w:pPr>
        <w:pStyle w:val="ListParagraph"/>
        <w:numPr>
          <w:ilvl w:val="0"/>
          <w:numId w:val="1"/>
        </w:numPr>
      </w:pPr>
      <w:r>
        <w:t>izgraditi sustav strukovnog obrazovanja i osposobljavanja koji omogućava cjeloživotno učenje i mobilnost</w:t>
      </w:r>
    </w:p>
    <w:p w14:paraId="0384CA52" w14:textId="77777777" w:rsidR="00F14EF0" w:rsidRDefault="00AB54D4">
      <w:pPr>
        <w:pStyle w:val="ListParagraph"/>
        <w:numPr>
          <w:ilvl w:val="0"/>
          <w:numId w:val="1"/>
        </w:numPr>
      </w:pPr>
      <w:r>
        <w:t>definirati  uloge nastavnika u sustavu orijentiranome na rezultate učenja</w:t>
      </w:r>
    </w:p>
    <w:p w14:paraId="185266B0" w14:textId="77777777" w:rsidR="00F14EF0" w:rsidRDefault="00AB54D4">
      <w:pPr>
        <w:pStyle w:val="ListParagraph"/>
        <w:numPr>
          <w:ilvl w:val="0"/>
          <w:numId w:val="1"/>
        </w:numPr>
      </w:pPr>
      <w:r>
        <w:t>uspostaviti sustav osiguranja kvalitete.</w:t>
      </w:r>
      <w:r>
        <w:br/>
      </w:r>
    </w:p>
    <w:p w14:paraId="2C3A2412" w14:textId="77777777" w:rsidR="00F14EF0" w:rsidRDefault="00F14EF0"/>
    <w:p w14:paraId="4D868E9A" w14:textId="77777777" w:rsidR="00F14EF0" w:rsidRDefault="00AB54D4">
      <w:pPr>
        <w:keepNext/>
        <w:spacing w:line="240" w:lineRule="auto"/>
        <w:jc w:val="center"/>
      </w:pPr>
      <w:r>
        <w:rPr>
          <w:b/>
          <w:sz w:val="28"/>
        </w:rPr>
        <w:t>Promjene u vrijednosti i obujmu imovine i obveza</w:t>
      </w:r>
    </w:p>
    <w:p w14:paraId="3E19819D" w14:textId="77777777" w:rsidR="00F14EF0" w:rsidRDefault="00AB54D4">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4EF0" w14:paraId="666C6D1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8E2B70" w14:textId="77777777" w:rsidR="00F14EF0" w:rsidRDefault="00AB54D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256BDD" w14:textId="77777777" w:rsidR="00F14EF0" w:rsidRDefault="00AB54D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A7C0A6" w14:textId="77777777" w:rsidR="00F14EF0" w:rsidRDefault="00AB54D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965F19" w14:textId="77777777" w:rsidR="00F14EF0" w:rsidRDefault="00AB54D4">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FCAFDCC" w14:textId="77777777" w:rsidR="00F14EF0" w:rsidRDefault="00AB54D4">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9777266" w14:textId="77777777" w:rsidR="00F14EF0" w:rsidRDefault="00AB54D4">
            <w:pPr>
              <w:keepNext/>
              <w:keepLines/>
              <w:spacing w:after="0" w:line="240" w:lineRule="auto"/>
              <w:jc w:val="center"/>
            </w:pPr>
            <w:r>
              <w:rPr>
                <w:b/>
                <w:sz w:val="18"/>
              </w:rPr>
              <w:t>Indeks (%)</w:t>
            </w:r>
          </w:p>
        </w:tc>
      </w:tr>
      <w:tr w:rsidR="00F14EF0" w14:paraId="0DE1BF8A" w14:textId="77777777">
        <w:tblPrEx>
          <w:tblCellMar>
            <w:top w:w="0" w:type="dxa"/>
            <w:bottom w:w="0" w:type="dxa"/>
          </w:tblCellMar>
        </w:tblPrEx>
        <w:trPr>
          <w:cantSplit/>
          <w:trHeight w:val="560"/>
        </w:trPr>
        <w:tc>
          <w:tcPr>
            <w:tcW w:w="700" w:type="dxa"/>
            <w:tcMar>
              <w:top w:w="0" w:type="dxa"/>
              <w:bottom w:w="0" w:type="dxa"/>
            </w:tcMar>
            <w:vAlign w:val="center"/>
          </w:tcPr>
          <w:p w14:paraId="68A335B2" w14:textId="77777777" w:rsidR="00F14EF0" w:rsidRDefault="00AB54D4">
            <w:pPr>
              <w:keepNext/>
              <w:keepLines/>
              <w:spacing w:after="0" w:line="240" w:lineRule="auto"/>
            </w:pPr>
            <w:r>
              <w:rPr>
                <w:sz w:val="18"/>
              </w:rPr>
              <w:t>91511</w:t>
            </w:r>
          </w:p>
        </w:tc>
        <w:tc>
          <w:tcPr>
            <w:tcW w:w="3180" w:type="dxa"/>
            <w:tcMar>
              <w:top w:w="0" w:type="dxa"/>
              <w:bottom w:w="0" w:type="dxa"/>
            </w:tcMar>
            <w:vAlign w:val="center"/>
          </w:tcPr>
          <w:p w14:paraId="584FDC08" w14:textId="77777777" w:rsidR="00F14EF0" w:rsidRDefault="00AB54D4">
            <w:pPr>
              <w:keepNext/>
              <w:keepLines/>
              <w:spacing w:after="0" w:line="240" w:lineRule="auto"/>
            </w:pPr>
            <w:r>
              <w:rPr>
                <w:sz w:val="18"/>
              </w:rPr>
              <w:t>Promjene u vrijednosti imovine (šifre P001+P008)</w:t>
            </w:r>
          </w:p>
        </w:tc>
        <w:tc>
          <w:tcPr>
            <w:tcW w:w="700" w:type="dxa"/>
            <w:tcMar>
              <w:top w:w="0" w:type="dxa"/>
              <w:bottom w:w="0" w:type="dxa"/>
            </w:tcMar>
            <w:vAlign w:val="center"/>
          </w:tcPr>
          <w:p w14:paraId="0AB90E1A" w14:textId="77777777" w:rsidR="00F14EF0" w:rsidRDefault="00AB54D4">
            <w:pPr>
              <w:keepNext/>
              <w:keepLines/>
              <w:spacing w:after="0" w:line="240" w:lineRule="auto"/>
            </w:pPr>
            <w:r>
              <w:rPr>
                <w:sz w:val="18"/>
              </w:rPr>
              <w:t>91511</w:t>
            </w:r>
          </w:p>
        </w:tc>
        <w:tc>
          <w:tcPr>
            <w:tcW w:w="1860" w:type="dxa"/>
            <w:tcMar>
              <w:top w:w="0" w:type="dxa"/>
              <w:bottom w:w="0" w:type="dxa"/>
            </w:tcMar>
            <w:vAlign w:val="center"/>
          </w:tcPr>
          <w:p w14:paraId="785EC433" w14:textId="77777777" w:rsidR="00F14EF0" w:rsidRDefault="00AB54D4">
            <w:pPr>
              <w:keepNext/>
              <w:keepLines/>
              <w:spacing w:after="0" w:line="240" w:lineRule="auto"/>
              <w:jc w:val="right"/>
            </w:pPr>
            <w:r>
              <w:rPr>
                <w:sz w:val="18"/>
              </w:rPr>
              <w:t>0,00</w:t>
            </w:r>
          </w:p>
        </w:tc>
        <w:tc>
          <w:tcPr>
            <w:tcW w:w="1860" w:type="dxa"/>
            <w:tcMar>
              <w:top w:w="0" w:type="dxa"/>
              <w:bottom w:w="0" w:type="dxa"/>
            </w:tcMar>
            <w:vAlign w:val="center"/>
          </w:tcPr>
          <w:p w14:paraId="6699C0AD" w14:textId="77777777" w:rsidR="00F14EF0" w:rsidRDefault="00AB54D4">
            <w:pPr>
              <w:keepNext/>
              <w:keepLines/>
              <w:spacing w:after="0" w:line="240" w:lineRule="auto"/>
              <w:jc w:val="right"/>
            </w:pPr>
            <w:r>
              <w:rPr>
                <w:sz w:val="18"/>
              </w:rPr>
              <w:t>91.479,97</w:t>
            </w:r>
          </w:p>
        </w:tc>
        <w:tc>
          <w:tcPr>
            <w:tcW w:w="700" w:type="dxa"/>
            <w:tcMar>
              <w:top w:w="0" w:type="dxa"/>
              <w:bottom w:w="0" w:type="dxa"/>
            </w:tcMar>
            <w:vAlign w:val="center"/>
          </w:tcPr>
          <w:p w14:paraId="33819945" w14:textId="77777777" w:rsidR="00F14EF0" w:rsidRDefault="00AB54D4">
            <w:pPr>
              <w:keepNext/>
              <w:keepLines/>
              <w:spacing w:after="0" w:line="240" w:lineRule="auto"/>
              <w:jc w:val="right"/>
            </w:pPr>
            <w:r>
              <w:rPr>
                <w:sz w:val="18"/>
              </w:rPr>
              <w:t>-</w:t>
            </w:r>
          </w:p>
        </w:tc>
      </w:tr>
    </w:tbl>
    <w:p w14:paraId="287DD1F3" w14:textId="77777777" w:rsidR="00F14EF0" w:rsidRDefault="00F14EF0">
      <w:pPr>
        <w:spacing w:after="0"/>
      </w:pPr>
    </w:p>
    <w:p w14:paraId="7DEC0F52" w14:textId="77777777" w:rsidR="00F14EF0" w:rsidRDefault="00AB54D4">
      <w:r>
        <w:t>Evidentiranje ispravka vrijednosti imovine posredstvom podskupine 915 propisano je Pravilnikom o proračunskom računovodstvu i računskom planu.</w:t>
      </w:r>
    </w:p>
    <w:p w14:paraId="6414B7E5" w14:textId="77777777" w:rsidR="00F14EF0" w:rsidRDefault="00F14EF0"/>
    <w:p w14:paraId="09DFB6D1" w14:textId="77777777" w:rsidR="00F14EF0" w:rsidRDefault="00AB54D4">
      <w:pPr>
        <w:keepNext/>
        <w:spacing w:line="240" w:lineRule="auto"/>
        <w:jc w:val="center"/>
      </w:pPr>
      <w:r>
        <w:rPr>
          <w:b/>
          <w:sz w:val="28"/>
        </w:rPr>
        <w:t>Izvještaj o obvezama</w:t>
      </w:r>
    </w:p>
    <w:p w14:paraId="6675359B" w14:textId="77777777" w:rsidR="00F14EF0" w:rsidRDefault="00AB54D4">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14EF0" w14:paraId="274252A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9678AA" w14:textId="77777777" w:rsidR="00F14EF0" w:rsidRDefault="00AB54D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9FE72D" w14:textId="77777777" w:rsidR="00F14EF0" w:rsidRDefault="00AB54D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7485E1" w14:textId="77777777" w:rsidR="00F14EF0" w:rsidRDefault="00AB54D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411573" w14:textId="77777777" w:rsidR="00F14EF0" w:rsidRDefault="00AB54D4">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DE0E1C7" w14:textId="77777777" w:rsidR="00F14EF0" w:rsidRDefault="00AB54D4">
            <w:pPr>
              <w:keepNext/>
              <w:keepLines/>
              <w:spacing w:after="0" w:line="240" w:lineRule="auto"/>
              <w:jc w:val="center"/>
            </w:pPr>
            <w:r>
              <w:rPr>
                <w:b/>
                <w:sz w:val="18"/>
              </w:rPr>
              <w:t>Indeks (%)</w:t>
            </w:r>
          </w:p>
        </w:tc>
      </w:tr>
      <w:tr w:rsidR="00F14EF0" w14:paraId="7113BE3A" w14:textId="77777777">
        <w:tblPrEx>
          <w:tblCellMar>
            <w:top w:w="0" w:type="dxa"/>
            <w:bottom w:w="0" w:type="dxa"/>
          </w:tblCellMar>
        </w:tblPrEx>
        <w:trPr>
          <w:cantSplit/>
          <w:trHeight w:val="560"/>
        </w:trPr>
        <w:tc>
          <w:tcPr>
            <w:tcW w:w="700" w:type="dxa"/>
            <w:tcMar>
              <w:top w:w="0" w:type="dxa"/>
              <w:bottom w:w="0" w:type="dxa"/>
            </w:tcMar>
            <w:vAlign w:val="center"/>
          </w:tcPr>
          <w:p w14:paraId="3669B5D2" w14:textId="77777777" w:rsidR="00F14EF0" w:rsidRDefault="00F14EF0">
            <w:pPr>
              <w:keepNext/>
              <w:keepLines/>
              <w:spacing w:after="0" w:line="240" w:lineRule="auto"/>
            </w:pPr>
          </w:p>
        </w:tc>
        <w:tc>
          <w:tcPr>
            <w:tcW w:w="3180" w:type="dxa"/>
            <w:tcMar>
              <w:top w:w="0" w:type="dxa"/>
              <w:bottom w:w="0" w:type="dxa"/>
            </w:tcMar>
            <w:vAlign w:val="center"/>
          </w:tcPr>
          <w:p w14:paraId="10711B60" w14:textId="77777777" w:rsidR="00F14EF0" w:rsidRDefault="00AB54D4">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5E33DC6F" w14:textId="77777777" w:rsidR="00F14EF0" w:rsidRDefault="00AB54D4">
            <w:pPr>
              <w:keepNext/>
              <w:keepLines/>
              <w:spacing w:after="0" w:line="240" w:lineRule="auto"/>
            </w:pPr>
            <w:r>
              <w:rPr>
                <w:sz w:val="18"/>
              </w:rPr>
              <w:t>V006</w:t>
            </w:r>
          </w:p>
        </w:tc>
        <w:tc>
          <w:tcPr>
            <w:tcW w:w="1860" w:type="dxa"/>
            <w:tcMar>
              <w:top w:w="0" w:type="dxa"/>
              <w:bottom w:w="0" w:type="dxa"/>
            </w:tcMar>
            <w:vAlign w:val="center"/>
          </w:tcPr>
          <w:p w14:paraId="069C6EC3" w14:textId="77777777" w:rsidR="00F14EF0" w:rsidRDefault="00AB54D4">
            <w:pPr>
              <w:keepNext/>
              <w:keepLines/>
              <w:spacing w:after="0" w:line="240" w:lineRule="auto"/>
              <w:jc w:val="right"/>
            </w:pPr>
            <w:r>
              <w:rPr>
                <w:sz w:val="18"/>
              </w:rPr>
              <w:t>1.281.040,69</w:t>
            </w:r>
          </w:p>
        </w:tc>
        <w:tc>
          <w:tcPr>
            <w:tcW w:w="700" w:type="dxa"/>
            <w:tcMar>
              <w:top w:w="0" w:type="dxa"/>
              <w:bottom w:w="0" w:type="dxa"/>
            </w:tcMar>
            <w:vAlign w:val="center"/>
          </w:tcPr>
          <w:p w14:paraId="3A51D98D" w14:textId="77777777" w:rsidR="00F14EF0" w:rsidRDefault="00AB54D4">
            <w:pPr>
              <w:keepNext/>
              <w:keepLines/>
              <w:spacing w:after="0" w:line="240" w:lineRule="auto"/>
              <w:jc w:val="right"/>
            </w:pPr>
            <w:r>
              <w:rPr>
                <w:sz w:val="18"/>
              </w:rPr>
              <w:t>-</w:t>
            </w:r>
          </w:p>
        </w:tc>
      </w:tr>
    </w:tbl>
    <w:p w14:paraId="1D75A644" w14:textId="77777777" w:rsidR="00F14EF0" w:rsidRDefault="00F14EF0">
      <w:pPr>
        <w:spacing w:after="0"/>
      </w:pPr>
    </w:p>
    <w:p w14:paraId="45784775" w14:textId="77777777" w:rsidR="00F14EF0" w:rsidRDefault="00AB54D4">
      <w:r>
        <w:t>Stanje obveza na dan 31.12.2025. odnose se na plaću za prosinac 2025. godine u iznosu od 473.833,15 eura, obveze po zaprimljenim računima za isporučena dobra i usluge u iznosu od 25.545,41 eura, obveze za jamčevne pologe u iznosu od 71.741,34 eura, obveze za EU predujmove 700.728,93, obveze za godišnji obračun poreza u iznosu od 795,82 eura te obveze za bolovanje HZZO u iznosu od 8.396,04 eura.</w:t>
      </w:r>
    </w:p>
    <w:p w14:paraId="325A3BA8" w14:textId="77777777" w:rsidR="00F14EF0" w:rsidRDefault="00F14EF0"/>
    <w:p w14:paraId="4AAF61F0" w14:textId="77777777" w:rsidR="00F14EF0" w:rsidRDefault="00AB54D4">
      <w:pPr>
        <w:keepNext/>
        <w:spacing w:line="240" w:lineRule="auto"/>
        <w:jc w:val="center"/>
      </w:pPr>
      <w:r>
        <w:rPr>
          <w:sz w:val="28"/>
        </w:rPr>
        <w:lastRenderedPageBreak/>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14EF0" w14:paraId="140611F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4D2016" w14:textId="77777777" w:rsidR="00F14EF0" w:rsidRDefault="00AB54D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D4B50C" w14:textId="77777777" w:rsidR="00F14EF0" w:rsidRDefault="00AB54D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326B06" w14:textId="77777777" w:rsidR="00F14EF0" w:rsidRDefault="00AB54D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407A9A" w14:textId="77777777" w:rsidR="00F14EF0" w:rsidRDefault="00AB54D4">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EAC5357" w14:textId="77777777" w:rsidR="00F14EF0" w:rsidRDefault="00AB54D4">
            <w:pPr>
              <w:keepNext/>
              <w:keepLines/>
              <w:spacing w:after="0" w:line="240" w:lineRule="auto"/>
              <w:jc w:val="center"/>
            </w:pPr>
            <w:r>
              <w:rPr>
                <w:b/>
                <w:sz w:val="18"/>
              </w:rPr>
              <w:t>Indeks (%)</w:t>
            </w:r>
          </w:p>
        </w:tc>
      </w:tr>
      <w:tr w:rsidR="00F14EF0" w14:paraId="623BBCD3" w14:textId="77777777">
        <w:tblPrEx>
          <w:tblCellMar>
            <w:top w:w="0" w:type="dxa"/>
            <w:bottom w:w="0" w:type="dxa"/>
          </w:tblCellMar>
        </w:tblPrEx>
        <w:trPr>
          <w:cantSplit/>
          <w:trHeight w:val="560"/>
        </w:trPr>
        <w:tc>
          <w:tcPr>
            <w:tcW w:w="700" w:type="dxa"/>
            <w:tcMar>
              <w:top w:w="0" w:type="dxa"/>
              <w:bottom w:w="0" w:type="dxa"/>
            </w:tcMar>
            <w:vAlign w:val="center"/>
          </w:tcPr>
          <w:p w14:paraId="47EAFC27" w14:textId="77777777" w:rsidR="00F14EF0" w:rsidRDefault="00F14EF0">
            <w:pPr>
              <w:keepNext/>
              <w:keepLines/>
              <w:spacing w:after="0" w:line="240" w:lineRule="auto"/>
            </w:pPr>
          </w:p>
        </w:tc>
        <w:tc>
          <w:tcPr>
            <w:tcW w:w="3180" w:type="dxa"/>
            <w:tcMar>
              <w:top w:w="0" w:type="dxa"/>
              <w:bottom w:w="0" w:type="dxa"/>
            </w:tcMar>
            <w:vAlign w:val="center"/>
          </w:tcPr>
          <w:p w14:paraId="1CD84773" w14:textId="77777777" w:rsidR="00F14EF0" w:rsidRDefault="00AB54D4">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3039D41B" w14:textId="77777777" w:rsidR="00F14EF0" w:rsidRDefault="00AB54D4">
            <w:pPr>
              <w:keepNext/>
              <w:keepLines/>
              <w:spacing w:after="0" w:line="240" w:lineRule="auto"/>
            </w:pPr>
            <w:r>
              <w:rPr>
                <w:sz w:val="18"/>
              </w:rPr>
              <w:t>V007</w:t>
            </w:r>
          </w:p>
        </w:tc>
        <w:tc>
          <w:tcPr>
            <w:tcW w:w="1860" w:type="dxa"/>
            <w:tcMar>
              <w:top w:w="0" w:type="dxa"/>
              <w:bottom w:w="0" w:type="dxa"/>
            </w:tcMar>
            <w:vAlign w:val="center"/>
          </w:tcPr>
          <w:p w14:paraId="358AD4AB" w14:textId="77777777" w:rsidR="00F14EF0" w:rsidRDefault="00AB54D4">
            <w:pPr>
              <w:keepNext/>
              <w:keepLines/>
              <w:spacing w:after="0" w:line="240" w:lineRule="auto"/>
              <w:jc w:val="right"/>
            </w:pPr>
            <w:r>
              <w:rPr>
                <w:sz w:val="18"/>
              </w:rPr>
              <w:t>0,00</w:t>
            </w:r>
          </w:p>
        </w:tc>
        <w:tc>
          <w:tcPr>
            <w:tcW w:w="700" w:type="dxa"/>
            <w:tcMar>
              <w:top w:w="0" w:type="dxa"/>
              <w:bottom w:w="0" w:type="dxa"/>
            </w:tcMar>
            <w:vAlign w:val="center"/>
          </w:tcPr>
          <w:p w14:paraId="2A0D7B30" w14:textId="77777777" w:rsidR="00F14EF0" w:rsidRDefault="00AB54D4">
            <w:pPr>
              <w:keepNext/>
              <w:keepLines/>
              <w:spacing w:after="0" w:line="240" w:lineRule="auto"/>
              <w:jc w:val="right"/>
            </w:pPr>
            <w:r>
              <w:rPr>
                <w:sz w:val="18"/>
              </w:rPr>
              <w:t>-</w:t>
            </w:r>
          </w:p>
        </w:tc>
      </w:tr>
    </w:tbl>
    <w:p w14:paraId="28C7C312" w14:textId="77777777" w:rsidR="00F14EF0" w:rsidRDefault="00F14EF0">
      <w:pPr>
        <w:spacing w:after="0"/>
      </w:pPr>
    </w:p>
    <w:p w14:paraId="129349E8" w14:textId="77777777" w:rsidR="00F14EF0" w:rsidRDefault="00AB54D4">
      <w:r>
        <w:t>Na dan 31.12.2025. nema evidentiranih dospjelih obveza.</w:t>
      </w:r>
    </w:p>
    <w:p w14:paraId="3786FDE2" w14:textId="77777777" w:rsidR="00F14EF0" w:rsidRDefault="00F14EF0"/>
    <w:p w14:paraId="50C68E35" w14:textId="77777777" w:rsidR="00F14EF0" w:rsidRDefault="00AB54D4">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14EF0" w14:paraId="5A80A34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4A6F8D" w14:textId="77777777" w:rsidR="00F14EF0" w:rsidRDefault="00AB54D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EA66E6D" w14:textId="77777777" w:rsidR="00F14EF0" w:rsidRDefault="00AB54D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E755B1" w14:textId="77777777" w:rsidR="00F14EF0" w:rsidRDefault="00AB54D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CF3826" w14:textId="77777777" w:rsidR="00F14EF0" w:rsidRDefault="00AB54D4">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2A9E345" w14:textId="77777777" w:rsidR="00F14EF0" w:rsidRDefault="00AB54D4">
            <w:pPr>
              <w:keepNext/>
              <w:keepLines/>
              <w:spacing w:after="0" w:line="240" w:lineRule="auto"/>
              <w:jc w:val="center"/>
            </w:pPr>
            <w:r>
              <w:rPr>
                <w:b/>
                <w:sz w:val="18"/>
              </w:rPr>
              <w:t>Indeks (%)</w:t>
            </w:r>
          </w:p>
        </w:tc>
      </w:tr>
      <w:tr w:rsidR="00F14EF0" w14:paraId="33DE381C" w14:textId="77777777">
        <w:tblPrEx>
          <w:tblCellMar>
            <w:top w:w="0" w:type="dxa"/>
            <w:bottom w:w="0" w:type="dxa"/>
          </w:tblCellMar>
        </w:tblPrEx>
        <w:trPr>
          <w:cantSplit/>
          <w:trHeight w:val="560"/>
        </w:trPr>
        <w:tc>
          <w:tcPr>
            <w:tcW w:w="700" w:type="dxa"/>
            <w:tcMar>
              <w:top w:w="0" w:type="dxa"/>
              <w:bottom w:w="0" w:type="dxa"/>
            </w:tcMar>
            <w:vAlign w:val="center"/>
          </w:tcPr>
          <w:p w14:paraId="140408F9" w14:textId="77777777" w:rsidR="00F14EF0" w:rsidRDefault="00F14EF0">
            <w:pPr>
              <w:keepNext/>
              <w:keepLines/>
              <w:spacing w:after="0" w:line="240" w:lineRule="auto"/>
            </w:pPr>
          </w:p>
        </w:tc>
        <w:tc>
          <w:tcPr>
            <w:tcW w:w="3180" w:type="dxa"/>
            <w:tcMar>
              <w:top w:w="0" w:type="dxa"/>
              <w:bottom w:w="0" w:type="dxa"/>
            </w:tcMar>
            <w:vAlign w:val="center"/>
          </w:tcPr>
          <w:p w14:paraId="79D904CE" w14:textId="77777777" w:rsidR="00F14EF0" w:rsidRDefault="00AB54D4">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159A5690" w14:textId="77777777" w:rsidR="00F14EF0" w:rsidRDefault="00AB54D4">
            <w:pPr>
              <w:keepNext/>
              <w:keepLines/>
              <w:spacing w:after="0" w:line="240" w:lineRule="auto"/>
            </w:pPr>
            <w:r>
              <w:rPr>
                <w:sz w:val="18"/>
              </w:rPr>
              <w:t>V009</w:t>
            </w:r>
          </w:p>
        </w:tc>
        <w:tc>
          <w:tcPr>
            <w:tcW w:w="1860" w:type="dxa"/>
            <w:tcMar>
              <w:top w:w="0" w:type="dxa"/>
              <w:bottom w:w="0" w:type="dxa"/>
            </w:tcMar>
            <w:vAlign w:val="center"/>
          </w:tcPr>
          <w:p w14:paraId="5CF79260" w14:textId="77777777" w:rsidR="00F14EF0" w:rsidRDefault="00AB54D4">
            <w:pPr>
              <w:keepNext/>
              <w:keepLines/>
              <w:spacing w:after="0" w:line="240" w:lineRule="auto"/>
              <w:jc w:val="right"/>
            </w:pPr>
            <w:r>
              <w:rPr>
                <w:sz w:val="18"/>
              </w:rPr>
              <w:t>1.281.040,69</w:t>
            </w:r>
          </w:p>
        </w:tc>
        <w:tc>
          <w:tcPr>
            <w:tcW w:w="700" w:type="dxa"/>
            <w:tcMar>
              <w:top w:w="0" w:type="dxa"/>
              <w:bottom w:w="0" w:type="dxa"/>
            </w:tcMar>
            <w:vAlign w:val="center"/>
          </w:tcPr>
          <w:p w14:paraId="20B75255" w14:textId="77777777" w:rsidR="00F14EF0" w:rsidRDefault="00AB54D4">
            <w:pPr>
              <w:keepNext/>
              <w:keepLines/>
              <w:spacing w:after="0" w:line="240" w:lineRule="auto"/>
              <w:jc w:val="right"/>
            </w:pPr>
            <w:r>
              <w:rPr>
                <w:sz w:val="18"/>
              </w:rPr>
              <w:t>-</w:t>
            </w:r>
          </w:p>
        </w:tc>
      </w:tr>
    </w:tbl>
    <w:p w14:paraId="6F1B4A9C" w14:textId="77777777" w:rsidR="00F14EF0" w:rsidRDefault="00F14EF0">
      <w:pPr>
        <w:spacing w:after="0"/>
      </w:pPr>
    </w:p>
    <w:p w14:paraId="050A249B" w14:textId="77777777" w:rsidR="00F14EF0" w:rsidRDefault="00AB54D4">
      <w:r>
        <w:t>Stanje obveza na dan 31.12.2025. odnose se na plaću za prosinac 2025. godine u iznosu od 473.833,15 eura, obveze po zaprimljenim računima za isporučena dobra i usluge u iznosu od 25.545,41 eura, obveze za jamčevne pologe u iznosu od 71.741,34 eura, obveze za EU predujmove 700.728,93, obveze za godišnji obračun poreza u iznosu od 795,82 eura te obveze za bolovanje HZZO u iznosu od 8.396,04 eura.</w:t>
      </w:r>
    </w:p>
    <w:p w14:paraId="712B115E" w14:textId="77777777" w:rsidR="00F14EF0" w:rsidRDefault="00F14EF0"/>
    <w:p w14:paraId="1C4632CB" w14:textId="77777777" w:rsidR="00F14EF0" w:rsidRDefault="00AB54D4">
      <w:pPr>
        <w:keepNext/>
        <w:spacing w:line="240" w:lineRule="auto"/>
        <w:jc w:val="center"/>
      </w:pPr>
      <w:r>
        <w:rPr>
          <w:sz w:val="28"/>
        </w:rPr>
        <w:t>Bilješka 33.</w:t>
      </w:r>
    </w:p>
    <w:p w14:paraId="4C176219" w14:textId="77777777" w:rsidR="00F14EF0" w:rsidRDefault="00AB54D4">
      <w:pPr>
        <w:spacing w:line="240" w:lineRule="auto"/>
        <w:jc w:val="both"/>
      </w:pPr>
      <w:r>
        <w:rPr>
          <w:b/>
        </w:rPr>
        <w:t>EU izvještaj</w:t>
      </w:r>
    </w:p>
    <w:p w14:paraId="381B3672" w14:textId="77777777" w:rsidR="00F14EF0" w:rsidRDefault="00AB54D4">
      <w:r>
        <w:t>Unutar EU izvještaja evidentirani su prihodi i primici, rashodi i izdaci, obračunski prihodi poslovanja, stanje potraživanja i obveza te izvanbilančni zapisi po izvorima financiranja za praćenje EU sredstava. Agencija za strukovno obrazovanje i obrazovanje odraslih financira se u sklopu EU sredstava iz izvora 510-Programi unije te izvora 561-Europski socijalni fond +.</w:t>
      </w:r>
    </w:p>
    <w:p w14:paraId="07047355" w14:textId="77777777" w:rsidR="00F14EF0" w:rsidRDefault="00F14EF0"/>
    <w:sectPr w:rsidR="00F14EF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318A3"/>
    <w:multiLevelType w:val="hybridMultilevel"/>
    <w:tmpl w:val="39A26B56"/>
    <w:name w:val="disc"/>
    <w:lvl w:ilvl="0" w:tplc="53567A48">
      <w:start w:val="1"/>
      <w:numFmt w:val="bullet"/>
      <w:lvlText w:val="•"/>
      <w:lvlJc w:val="left"/>
      <w:pPr>
        <w:ind w:left="720" w:hanging="360"/>
      </w:pPr>
    </w:lvl>
    <w:lvl w:ilvl="1" w:tplc="BD0AD9D0">
      <w:start w:val="1"/>
      <w:numFmt w:val="bullet"/>
      <w:lvlText w:val="•"/>
      <w:lvlJc w:val="left"/>
      <w:pPr>
        <w:ind w:left="1440" w:hanging="360"/>
      </w:pPr>
    </w:lvl>
    <w:lvl w:ilvl="2" w:tplc="A524D2F0">
      <w:start w:val="1"/>
      <w:numFmt w:val="bullet"/>
      <w:lvlText w:val="•"/>
      <w:lvlJc w:val="left"/>
      <w:pPr>
        <w:ind w:left="2160" w:hanging="360"/>
      </w:pPr>
    </w:lvl>
    <w:lvl w:ilvl="3" w:tplc="C1D232B2">
      <w:start w:val="1"/>
      <w:numFmt w:val="bullet"/>
      <w:lvlText w:val="•"/>
      <w:lvlJc w:val="left"/>
      <w:pPr>
        <w:ind w:left="2880" w:hanging="360"/>
      </w:pPr>
    </w:lvl>
    <w:lvl w:ilvl="4" w:tplc="400EE554">
      <w:start w:val="1"/>
      <w:numFmt w:val="bullet"/>
      <w:lvlText w:val="•"/>
      <w:lvlJc w:val="left"/>
      <w:pPr>
        <w:ind w:left="3600" w:hanging="360"/>
      </w:pPr>
    </w:lvl>
    <w:lvl w:ilvl="5" w:tplc="7B7CD6BE">
      <w:start w:val="1"/>
      <w:numFmt w:val="bullet"/>
      <w:lvlText w:val="•"/>
      <w:lvlJc w:val="left"/>
      <w:pPr>
        <w:ind w:left="4320" w:hanging="360"/>
      </w:pPr>
    </w:lvl>
    <w:lvl w:ilvl="6" w:tplc="B1BADB58">
      <w:start w:val="1"/>
      <w:numFmt w:val="bullet"/>
      <w:lvlText w:val="•"/>
      <w:lvlJc w:val="left"/>
      <w:pPr>
        <w:ind w:left="5040" w:hanging="360"/>
      </w:pPr>
    </w:lvl>
    <w:lvl w:ilvl="7" w:tplc="6CAA2178">
      <w:start w:val="1"/>
      <w:numFmt w:val="bullet"/>
      <w:lvlText w:val="•"/>
      <w:lvlJc w:val="left"/>
      <w:pPr>
        <w:ind w:left="5760" w:hanging="360"/>
      </w:pPr>
    </w:lvl>
    <w:lvl w:ilvl="8" w:tplc="7B1C6CBA">
      <w:start w:val="1"/>
      <w:numFmt w:val="bullet"/>
      <w:lvlText w:val="•"/>
      <w:lvlJc w:val="left"/>
      <w:pPr>
        <w:ind w:left="6480" w:hanging="360"/>
      </w:pPr>
    </w:lvl>
  </w:abstractNum>
  <w:num w:numId="1" w16cid:durableId="10024401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EF0"/>
    <w:rsid w:val="00AB54D4"/>
    <w:rsid w:val="00E23774"/>
    <w:rsid w:val="00F14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DB218"/>
  <w15:docId w15:val="{E5DE4848-1589-4BB4-8261-7CADED06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2795</Words>
  <Characters>15935</Characters>
  <Application>Microsoft Office Word</Application>
  <DocSecurity>0</DocSecurity>
  <Lines>132</Lines>
  <Paragraphs>37</Paragraphs>
  <ScaleCrop>false</ScaleCrop>
  <Company/>
  <LinksUpToDate>false</LinksUpToDate>
  <CharactersWithSpaces>18693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Kušanić</dc:creator>
  <cp:lastModifiedBy>Maja Kušanić</cp:lastModifiedBy>
  <cp:revision>2</cp:revision>
  <dcterms:created xsi:type="dcterms:W3CDTF">2026-01-28T14:19:00Z</dcterms:created>
  <dcterms:modified xsi:type="dcterms:W3CDTF">2026-01-28T14:19:00Z</dcterms:modified>
</cp:coreProperties>
</file>