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36D8" w14:textId="43484C73" w:rsidR="00443F08" w:rsidRPr="004448F3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48F3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A345230" w14:textId="77777777" w:rsidR="004448F3" w:rsidRPr="00551BA7" w:rsidRDefault="00443F08" w:rsidP="00551BA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20CA467D" w14:textId="77777777" w:rsidR="004448F3" w:rsidRPr="00551BA7" w:rsidRDefault="00443F08" w:rsidP="00551BA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7441F112" w:rsidR="00FB0D00" w:rsidRPr="00551BA7" w:rsidRDefault="00406EFA" w:rsidP="00551BA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obojenih metala i legura </w:t>
      </w:r>
      <w:r w:rsidR="00D144EA"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="00443F08"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 </w:t>
      </w:r>
      <w:r w:rsidR="00AE53B5"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TIG (141)</w:t>
      </w:r>
      <w:r w:rsidR="00443F08"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F576F6" w14:textId="77777777" w:rsidR="00551BA7" w:rsidRDefault="00551BA7" w:rsidP="009C2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4D316B" w14:textId="65C6714D" w:rsidR="00817098" w:rsidRPr="00551BA7" w:rsidRDefault="00817098" w:rsidP="009C2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51BA7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C759FB" w:rsidRPr="00551BA7" w14:paraId="69B33573" w14:textId="77777777" w:rsidTr="00CE5C82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551BA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AF0C161" w:rsidR="00C759FB" w:rsidRPr="00551BA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551BA7" w14:paraId="39C58608" w14:textId="77777777" w:rsidTr="00CE5C82">
        <w:trPr>
          <w:trHeight w:val="30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446D0CE8" w14:textId="529E14C4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2694E943" w14:textId="16E8022A" w:rsidR="00797D1F" w:rsidRPr="00551BA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551BA7" w14:paraId="7899B0FB" w14:textId="77777777" w:rsidTr="00CE5C82">
        <w:trPr>
          <w:trHeight w:val="31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69B3C0D0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2EC9798A" w:rsidR="00C759FB" w:rsidRPr="00551BA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1" w:name="_GoBack"/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="00BB534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  <w:bookmarkEnd w:id="1"/>
          </w:p>
        </w:tc>
      </w:tr>
      <w:tr w:rsidR="00C759FB" w:rsidRPr="00551BA7" w14:paraId="0B142720" w14:textId="77777777" w:rsidTr="00CE5C82">
        <w:trPr>
          <w:trHeight w:val="30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3B2779C1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5EF914C2" w:rsidR="00C759FB" w:rsidRPr="00551BA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551BA7" w14:paraId="3F28E15A" w14:textId="77777777" w:rsidTr="00CE5C82">
        <w:trPr>
          <w:trHeight w:val="329"/>
        </w:trPr>
        <w:tc>
          <w:tcPr>
            <w:tcW w:w="1568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B4C6E7" w:themeFill="accent1" w:themeFillTint="66"/>
            <w:hideMark/>
          </w:tcPr>
          <w:p w14:paraId="3611770D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5710EB8A" w14:textId="0B6DC478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51BA7" w14:paraId="6827F64F" w14:textId="77777777" w:rsidTr="00CE5C82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551BA7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B4C6E7" w:themeFill="accent1" w:themeFillTint="66"/>
            <w:hideMark/>
          </w:tcPr>
          <w:p w14:paraId="019DB595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A4BC742" w14:textId="0D16E6F8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51BA7" w14:paraId="206337B8" w14:textId="77777777" w:rsidTr="00CE5C82">
        <w:trPr>
          <w:trHeight w:val="827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6021170A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6B651854" w14:textId="02487509" w:rsidR="00C759FB" w:rsidRPr="00551BA7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sučeljnim spojem </w:t>
            </w:r>
            <w:r w:rsidR="00AE53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551BA7" w14:paraId="1AC156F2" w14:textId="77777777" w:rsidTr="00CE5C82">
        <w:trPr>
          <w:trHeight w:val="539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195D4239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786017F6" w14:textId="40B59842" w:rsidR="000E25D8" w:rsidRPr="00551BA7" w:rsidRDefault="00F45A7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594B04FE" w:rsidR="00C759FB" w:rsidRPr="00551BA7" w:rsidRDefault="000E25D8" w:rsidP="008E0D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="00BB534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A11324" w:rsidRPr="008E0DC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7 </w:t>
            </w:r>
            <w:r w:rsidRPr="008E0DC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551BA7" w14:paraId="2D88B913" w14:textId="77777777" w:rsidTr="00CE5C82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551BA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551BA7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8E0DC1" w:rsidRPr="00551BA7" w14:paraId="1A0CC92F" w14:textId="77777777" w:rsidTr="005975F4">
        <w:trPr>
          <w:trHeight w:val="675"/>
        </w:trPr>
        <w:tc>
          <w:tcPr>
            <w:tcW w:w="1568" w:type="pct"/>
            <w:shd w:val="clear" w:color="auto" w:fill="B4C6E7" w:themeFill="accent1" w:themeFillTint="66"/>
            <w:vAlign w:val="center"/>
            <w:hideMark/>
          </w:tcPr>
          <w:p w14:paraId="4603EC91" w14:textId="77777777" w:rsidR="008E0DC1" w:rsidRDefault="008E0DC1" w:rsidP="008E0DC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1F976280" w:rsidR="008E0DC1" w:rsidRPr="00551BA7" w:rsidRDefault="008E0DC1" w:rsidP="008E0D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997" w:type="pct"/>
            <w:gridSpan w:val="2"/>
            <w:shd w:val="clear" w:color="auto" w:fill="B4C6E7" w:themeFill="accent1" w:themeFillTint="66"/>
            <w:vAlign w:val="center"/>
            <w:hideMark/>
          </w:tcPr>
          <w:p w14:paraId="0DAA8A97" w14:textId="77777777" w:rsidR="008E0DC1" w:rsidRDefault="008E0DC1" w:rsidP="008E0DC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62937E46" w:rsidR="008E0DC1" w:rsidRPr="00551BA7" w:rsidRDefault="008E0DC1" w:rsidP="008E0D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435" w:type="pct"/>
            <w:shd w:val="clear" w:color="auto" w:fill="B4C6E7" w:themeFill="accent1" w:themeFillTint="66"/>
            <w:vAlign w:val="center"/>
            <w:hideMark/>
          </w:tcPr>
          <w:p w14:paraId="58ADAE83" w14:textId="358C0F06" w:rsidR="008E0DC1" w:rsidRPr="00551BA7" w:rsidRDefault="008E0DC1" w:rsidP="008E0D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551BA7" w14:paraId="575AACF6" w14:textId="77777777" w:rsidTr="008E0DC1">
        <w:trPr>
          <w:trHeight w:val="490"/>
        </w:trPr>
        <w:tc>
          <w:tcPr>
            <w:tcW w:w="1568" w:type="pct"/>
            <w:vAlign w:val="center"/>
          </w:tcPr>
          <w:p w14:paraId="4D575119" w14:textId="77777777" w:rsidR="00672EED" w:rsidRPr="00551BA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34C29F2" w14:textId="77777777" w:rsidR="00BF517F" w:rsidRPr="002255C0" w:rsidRDefault="00C76AAA" w:rsidP="00BF51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="00BF517F" w:rsidRPr="002255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="00BF517F" w:rsidRPr="002255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9952C87" w14:textId="77777777" w:rsidR="00A6547D" w:rsidRDefault="00A6547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748AA713" w:rsidR="00672EED" w:rsidRPr="00551BA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654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2362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Pr="00551BA7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Style w:val="Hyperlink"/>
                <w:sz w:val="20"/>
                <w:szCs w:val="20"/>
              </w:rPr>
              <w:t>https://hko.srce.hr/registar/skup-kompetencija/detalji/2109</w:t>
            </w:r>
            <w:r w:rsidR="00672EED" w:rsidRPr="00551BA7">
              <w:rPr>
                <w:sz w:val="20"/>
                <w:szCs w:val="20"/>
              </w:rPr>
              <w:t xml:space="preserve"> </w:t>
            </w:r>
          </w:p>
          <w:p w14:paraId="41871937" w14:textId="77777777" w:rsidR="002362B3" w:rsidRDefault="002362B3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E3D85BD" w14:textId="0F6239EB" w:rsidR="00672EED" w:rsidRPr="00551BA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2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811C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057B5521" w14:textId="1CA78933" w:rsidR="00C759FB" w:rsidRDefault="00C76AAA" w:rsidP="00C81C48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8" w:history="1">
              <w:r w:rsidR="00C042D0" w:rsidRPr="007B067A">
                <w:rPr>
                  <w:rStyle w:val="Hyperlink"/>
                  <w:sz w:val="20"/>
                  <w:szCs w:val="20"/>
                </w:rPr>
                <w:t>https://hko.srce.hr/registar/skup-kompetencija/detalji/2110</w:t>
              </w:r>
            </w:hyperlink>
            <w:r w:rsidR="00672EED" w:rsidRPr="00551BA7">
              <w:rPr>
                <w:sz w:val="20"/>
                <w:szCs w:val="20"/>
              </w:rPr>
              <w:t xml:space="preserve"> </w:t>
            </w:r>
          </w:p>
          <w:p w14:paraId="01E24B39" w14:textId="77777777" w:rsidR="00C042D0" w:rsidRDefault="00C042D0" w:rsidP="00C81C4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16C71A4" w14:textId="77777777" w:rsidR="00C042D0" w:rsidRPr="00A01FC7" w:rsidRDefault="00C042D0" w:rsidP="00C042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01F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3D0D3195" w14:textId="185099AB" w:rsidR="00C042D0" w:rsidRPr="00551BA7" w:rsidRDefault="00C76AAA" w:rsidP="00C042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C042D0" w:rsidRPr="00A01FC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</w:tc>
        <w:tc>
          <w:tcPr>
            <w:tcW w:w="1997" w:type="pct"/>
            <w:gridSpan w:val="2"/>
          </w:tcPr>
          <w:p w14:paraId="3F0F8F7D" w14:textId="77777777" w:rsidR="00672EED" w:rsidRPr="00551BA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3E1C0D7A" w14:textId="77777777" w:rsidR="00E1482E" w:rsidRPr="00652A5B" w:rsidRDefault="00C76AAA" w:rsidP="00E1482E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="00E1482E"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100114CD" w14:textId="77777777" w:rsidR="00585534" w:rsidRDefault="00585534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49B95AB9" w14:textId="6FCFBFE1" w:rsidR="006A3418" w:rsidRPr="00551BA7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654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="002362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sučeljenim spojem </w:t>
            </w:r>
            <w:r w:rsidR="00AE53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7B42AB63" w14:textId="4068DDF1" w:rsidR="007A269D" w:rsidRPr="00551BA7" w:rsidRDefault="00C76AA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9C2B93" w:rsidRPr="00551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https://hko.srce.hr/registar/skup-ishoda-ucenja/detalji/2368</w:t>
              </w:r>
            </w:hyperlink>
            <w:r w:rsidR="009C2B93" w:rsidRPr="00551BA7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79AE20" w14:textId="77777777" w:rsidR="007A269D" w:rsidRPr="00551BA7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Pr="00551BA7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Pr="00551BA7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Pr="00551BA7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1B4296" w14:textId="77777777" w:rsidR="00A11324" w:rsidRPr="00551BA7" w:rsidRDefault="00A1132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2EFF5B" w14:textId="77777777" w:rsidR="009C2B93" w:rsidRPr="00551BA7" w:rsidRDefault="009C2B9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7D4FFF" w14:textId="77777777" w:rsidR="009C2B93" w:rsidRPr="00551BA7" w:rsidRDefault="009C2B9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9544FE9" w:rsidR="007A269D" w:rsidRPr="00551BA7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vAlign w:val="center"/>
          </w:tcPr>
          <w:p w14:paraId="6A04DB37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51BA7" w14:paraId="42CE3E54" w14:textId="77777777" w:rsidTr="00CE5C82">
        <w:trPr>
          <w:trHeight w:val="291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4CAA4D5B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  <w:vAlign w:val="center"/>
          </w:tcPr>
          <w:p w14:paraId="3C667CCB" w14:textId="7BDDC4A2" w:rsidR="00C759FB" w:rsidRPr="00551BA7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Završe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modul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F04A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Programi obrazovanje za stjecanje m</w:t>
            </w:r>
            <w:r w:rsidR="007D6DCB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ikrokvalifikacij</w:t>
            </w:r>
            <w:r w:rsidR="00F04A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7D6DCB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čelika sučeljenim spojem TIG (141) postupkom i Zavarivanje obojenih metala i legura kutnim spojem TIG (141) postupkom</w:t>
            </w:r>
          </w:p>
        </w:tc>
      </w:tr>
      <w:tr w:rsidR="00C759FB" w:rsidRPr="00551BA7" w14:paraId="4AF77F6B" w14:textId="77777777" w:rsidTr="00CE5C82">
        <w:trPr>
          <w:trHeight w:val="732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7D39FA66" w14:textId="07BA6BF1" w:rsidR="00C759FB" w:rsidRPr="00551BA7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564923A" w14:textId="5266ADF9" w:rsidR="00F62584" w:rsidRPr="00585534" w:rsidRDefault="00F62584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 xml:space="preserve">Stečenih </w:t>
            </w:r>
            <w:r w:rsidR="00A11324" w:rsidRPr="00585534">
              <w:rPr>
                <w:rFonts w:cstheme="minorHAnsi"/>
                <w:noProof/>
                <w:sz w:val="20"/>
                <w:szCs w:val="20"/>
              </w:rPr>
              <w:t>7</w:t>
            </w:r>
            <w:r w:rsidRPr="00585534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0DB998D2" w14:textId="406238BE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242865DD" w14:textId="5E243E6C" w:rsidR="002849BD" w:rsidRPr="00585534" w:rsidRDefault="002849BD" w:rsidP="0058553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CD8A441" w14:textId="1E797DF6" w:rsidR="002849BD" w:rsidRPr="00585534" w:rsidRDefault="002849BD" w:rsidP="0058553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551BA7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5FCD141B" w14:textId="45D740B0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59892C0B" w14:textId="6E8CB4F4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7E6B92D6" w14:textId="35809D9A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FED0AB5" w14:textId="7A6257E3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43C0C268" w14:textId="5C5B64D1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54EEE4F9" w14:textId="49AAC54F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 xml:space="preserve">Kompetentno izvođenje  zadatka  </w:t>
            </w:r>
            <w:r w:rsidR="00AE53B5" w:rsidRPr="00585534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585534">
              <w:rPr>
                <w:rFonts w:cstheme="minorHAnsi"/>
                <w:noProof/>
                <w:sz w:val="20"/>
                <w:szCs w:val="20"/>
              </w:rPr>
              <w:t xml:space="preserve"> postupkom zavarivanja </w:t>
            </w:r>
          </w:p>
          <w:p w14:paraId="6BD31273" w14:textId="073D0D61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1B77B87F" w14:textId="27DB4B82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5AED9735" w14:textId="71115BA5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67CEB97F" w14:textId="122DE270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00AF36E6" w14:textId="7B2CC6B1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CD9CF66" w14:textId="77777777" w:rsidR="002849BD" w:rsidRPr="00551BA7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46FDDBC5" w:rsidR="00C759FB" w:rsidRPr="00551BA7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174E6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30CCF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</w:t>
            </w:r>
            <w:r w:rsidR="0093047C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D30A2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(141)</w:t>
            </w:r>
            <w:r w:rsidR="00D30CCF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  <w:r w:rsidR="006D30A2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551BA7" w14:paraId="34A012B0" w14:textId="77777777" w:rsidTr="00CE5C82">
        <w:trPr>
          <w:trHeight w:val="732"/>
        </w:trPr>
        <w:tc>
          <w:tcPr>
            <w:tcW w:w="1568" w:type="pct"/>
            <w:shd w:val="clear" w:color="auto" w:fill="B4C6E7" w:themeFill="accent1" w:themeFillTint="66"/>
          </w:tcPr>
          <w:p w14:paraId="0FD8C313" w14:textId="4BC283AA" w:rsidR="00012313" w:rsidRPr="00551BA7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32" w:type="pct"/>
            <w:gridSpan w:val="3"/>
          </w:tcPr>
          <w:p w14:paraId="01656DCE" w14:textId="22F4FF86" w:rsidR="00BE0AED" w:rsidRPr="00551BA7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30CCF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9627A4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175</w:t>
            </w:r>
            <w:r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sati,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mogućnost izvođenja teorijskog dijela programa na daljinu u realnom vremenu.</w:t>
            </w:r>
          </w:p>
          <w:p w14:paraId="2B323009" w14:textId="2D371D13" w:rsidR="00BE0AED" w:rsidRPr="00551BA7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9627A4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432495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9627A4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432495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9627A4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432495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3D907824" w:rsidR="00012313" w:rsidRPr="00551BA7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 rada na simulatoru za zavarivanje (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 i 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 rada u realnim uvjetima (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sati). </w:t>
            </w:r>
          </w:p>
        </w:tc>
      </w:tr>
      <w:tr w:rsidR="00C759FB" w:rsidRPr="00551BA7" w14:paraId="2F5BF833" w14:textId="77777777" w:rsidTr="00CE5C82">
        <w:trPr>
          <w:trHeight w:val="1517"/>
        </w:trPr>
        <w:tc>
          <w:tcPr>
            <w:tcW w:w="1568" w:type="pct"/>
            <w:shd w:val="clear" w:color="auto" w:fill="B4C6E7" w:themeFill="accent1" w:themeFillTint="66"/>
          </w:tcPr>
          <w:p w14:paraId="13E00E54" w14:textId="77777777" w:rsidR="00C759FB" w:rsidRPr="00551BA7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F7EBD63" w14:textId="425BD9B4" w:rsidR="00C759FB" w:rsidRPr="00551BA7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sučeljenih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REL (111), </w:t>
            </w:r>
            <w:r w:rsidR="003B142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(131), </w:t>
            </w:r>
            <w:r w:rsidR="00D627D9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PPŽ (136), i sv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im</w:t>
            </w:r>
            <w:r w:rsidR="003B142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vrst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ama</w:t>
            </w:r>
            <w:r w:rsidR="003B142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osnovnih materijala (čelici, nehrđajući čelci, obojeni metali i njihove legure).</w:t>
            </w:r>
          </w:p>
          <w:p w14:paraId="159279EB" w14:textId="565973FD" w:rsidR="00223236" w:rsidRPr="00551BA7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551BA7" w14:paraId="6596F4E3" w14:textId="77777777" w:rsidTr="00CE5C82">
        <w:trPr>
          <w:trHeight w:val="557"/>
        </w:trPr>
        <w:tc>
          <w:tcPr>
            <w:tcW w:w="1568" w:type="pct"/>
            <w:shd w:val="clear" w:color="auto" w:fill="B4C6E7" w:themeFill="accent1" w:themeFillTint="66"/>
          </w:tcPr>
          <w:p w14:paraId="764D8F78" w14:textId="77777777" w:rsidR="00C759FB" w:rsidRPr="00551BA7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6FEF4E2F" w:rsidR="00C759FB" w:rsidRPr="00551BA7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 cijevi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 obojrnih metala i legura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30CCF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sučeljenih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spojeva IW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W (International </w:t>
            </w:r>
            <w:r w:rsidR="00B65F49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Plate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Welder).</w:t>
            </w:r>
          </w:p>
        </w:tc>
      </w:tr>
      <w:tr w:rsidR="00C759FB" w:rsidRPr="00551BA7" w14:paraId="2C76E0A8" w14:textId="77777777" w:rsidTr="00CE5C82">
        <w:trPr>
          <w:trHeight w:val="553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1C3897D4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7956F6E0" w14:textId="339116AA" w:rsidR="00C759FB" w:rsidRDefault="00C76AA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723AB5" w:rsidRPr="00551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https://hko.srce.hr/registar/skup-ishoda-ucenja/detalji/2368</w:t>
              </w:r>
            </w:hyperlink>
            <w:r w:rsidR="00723A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F5EC9FB" w14:textId="77777777" w:rsidR="00973012" w:rsidRDefault="00973012" w:rsidP="00973012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02777D27" w14:textId="77777777" w:rsidR="00973012" w:rsidRDefault="00973012" w:rsidP="00973012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D08E1EA" w14:textId="77777777" w:rsidR="00973012" w:rsidRDefault="00973012" w:rsidP="00973012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8CF8FF3" w14:textId="77777777" w:rsidR="00973012" w:rsidRDefault="00973012" w:rsidP="00973012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6DD221C2" w14:textId="77777777" w:rsidR="00973012" w:rsidRDefault="00973012" w:rsidP="00973012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2D1705EB" w:rsidR="00973012" w:rsidRPr="00973012" w:rsidRDefault="00973012" w:rsidP="00973012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C759FB" w:rsidRPr="00551BA7" w14:paraId="64AD4354" w14:textId="77777777" w:rsidTr="00CE5C82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551BA7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7934D7DA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7B49B550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55BDA649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elektrolučno zavarivanje </w:t>
            </w:r>
          </w:p>
          <w:p w14:paraId="67A131D5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Podesiti parametre elektrolučnog zavarivanja prema SPZ (WPS)</w:t>
            </w:r>
          </w:p>
          <w:p w14:paraId="2E01A720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Pripremiti rubove osnovnog materijala za postupak elektrolučnog zavarivanja</w:t>
            </w:r>
          </w:p>
          <w:p w14:paraId="10753BF0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2C43F44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Zavarivati elektrolučnim postupkom u svim položajima zavarivanja i primijeniti odgovarajuće tehnike zavarivanja</w:t>
            </w:r>
          </w:p>
          <w:p w14:paraId="2DBBEE71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1DB73D9E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19C3A4B3" w:rsidR="00B05F57" w:rsidRPr="006754F6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Očistiti elektrolučni zavareni spoj, osnovni materijal i radno mjesto</w:t>
            </w:r>
          </w:p>
        </w:tc>
      </w:tr>
      <w:tr w:rsidR="00C759FB" w:rsidRPr="00551BA7" w14:paraId="3D59805F" w14:textId="77777777" w:rsidTr="00CE5C82">
        <w:trPr>
          <w:trHeight w:val="951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29E08823" w14:textId="0E072A93" w:rsidR="00C759FB" w:rsidRPr="00551BA7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2612628" w14:textId="77777777" w:rsidR="00223236" w:rsidRPr="00551BA7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363B57E7" w:rsidR="00223236" w:rsidRPr="006754F6" w:rsidRDefault="00223236" w:rsidP="006754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4F6">
              <w:rPr>
                <w:rFonts w:cstheme="minorHAnsi"/>
                <w:noProof/>
                <w:sz w:val="20"/>
                <w:szCs w:val="20"/>
              </w:rPr>
              <w:t>Postupke za vrednovanje rada nastavnika i trenera</w:t>
            </w:r>
          </w:p>
          <w:p w14:paraId="48B288BC" w14:textId="085B1BE3" w:rsidR="00223236" w:rsidRPr="006754F6" w:rsidRDefault="00223236" w:rsidP="006754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4F6">
              <w:rPr>
                <w:rFonts w:cstheme="minorHAnsi"/>
                <w:noProof/>
                <w:sz w:val="20"/>
                <w:szCs w:val="20"/>
              </w:rPr>
              <w:lastRenderedPageBreak/>
              <w:t>Postupke za praćenje postupka ocjenjivanja te njihove usklađenosti s očekivanim ishodima učenja</w:t>
            </w:r>
          </w:p>
          <w:p w14:paraId="04347D9D" w14:textId="3D40F6CA" w:rsidR="00223236" w:rsidRPr="006754F6" w:rsidRDefault="00223236" w:rsidP="006754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4F6">
              <w:rPr>
                <w:rFonts w:cstheme="minorHAnsi"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6CC39BA4" w14:textId="38FFED38" w:rsidR="00223236" w:rsidRPr="006754F6" w:rsidRDefault="00223236" w:rsidP="006754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4F6">
              <w:rPr>
                <w:rFonts w:cstheme="minorHAnsi"/>
                <w:noProof/>
                <w:sz w:val="20"/>
                <w:szCs w:val="20"/>
              </w:rPr>
              <w:t>Postupke za praćenje uspjeha polaznika</w:t>
            </w:r>
          </w:p>
          <w:p w14:paraId="2736D7D8" w14:textId="77777777" w:rsidR="00223236" w:rsidRPr="00551BA7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6EEC3E5A" w:rsidR="00223236" w:rsidRPr="00551BA7" w:rsidRDefault="00223236" w:rsidP="00B3702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51BA7">
              <w:rPr>
                <w:rFonts w:cstheme="minorHAnsi"/>
                <w:noProof/>
                <w:sz w:val="20"/>
                <w:szCs w:val="20"/>
              </w:rPr>
              <w:t>Akcijski plan poezan s rezultatima evaluacijskih upitnika</w:t>
            </w:r>
          </w:p>
          <w:p w14:paraId="5C6CBFBD" w14:textId="2630FB07" w:rsidR="00223236" w:rsidRPr="00551BA7" w:rsidRDefault="00223236" w:rsidP="00B3702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51BA7">
              <w:rPr>
                <w:rFonts w:cstheme="minorHAnsi"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660550D4" w:rsidR="00C759FB" w:rsidRPr="00551BA7" w:rsidRDefault="00223236" w:rsidP="00B3702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44546A" w:themeColor="text2"/>
                <w:sz w:val="20"/>
                <w:szCs w:val="20"/>
              </w:rPr>
            </w:pPr>
            <w:r w:rsidRPr="00551BA7">
              <w:rPr>
                <w:rFonts w:cstheme="minorHAnsi"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551BA7" w14:paraId="56EB1F55" w14:textId="77777777" w:rsidTr="00CE5C82">
        <w:trPr>
          <w:trHeight w:val="513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2D9E9262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74FAC82D" w:rsidR="00C759FB" w:rsidRPr="00551BA7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4DA9241" w14:textId="77777777" w:rsidR="00A90A66" w:rsidRDefault="00A90A66" w:rsidP="00A90A66">
      <w:pPr>
        <w:ind w:left="360"/>
        <w:rPr>
          <w:rFonts w:cstheme="minorHAnsi"/>
          <w:b/>
          <w:bCs/>
          <w:noProof/>
          <w:sz w:val="24"/>
          <w:szCs w:val="24"/>
        </w:rPr>
      </w:pPr>
    </w:p>
    <w:p w14:paraId="1D976449" w14:textId="369DD43E" w:rsidR="00C759FB" w:rsidRPr="00676837" w:rsidRDefault="00C759FB" w:rsidP="00676837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76837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67683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67683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67683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67683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676837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30E242F" w:rsidR="009A210D" w:rsidRPr="00F919E2" w:rsidRDefault="00406EFA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="00407C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08F00B6" w:rsidR="009A210D" w:rsidRPr="00F919E2" w:rsidRDefault="00406EFA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="00407C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67683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08800F48" w:rsidR="009A210D" w:rsidRPr="00F919E2" w:rsidRDefault="00B86DFC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C7312DB" w:rsidR="009A210D" w:rsidRPr="00F919E2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049F7B8" w:rsidR="009A210D" w:rsidRPr="00F919E2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4E8BC48E" w:rsidR="009A210D" w:rsidRPr="00F919E2" w:rsidRDefault="00432495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74B5467" w:rsidR="009A210D" w:rsidRPr="00F919E2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137DAC">
        <w:trPr>
          <w:trHeight w:val="459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62C3E2B4" w:rsidR="00C759FB" w:rsidRPr="00676837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499EFE" w:rsidR="00C759FB" w:rsidRPr="00676837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32EB28AF" w:rsidR="00C759FB" w:rsidRPr="00676837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39E8AF1" w:rsidR="00C759FB" w:rsidRPr="00676837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11ED466" w:rsidR="00C759FB" w:rsidRPr="00676837" w:rsidRDefault="00432495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C62EA2" w:rsidR="00C759FB" w:rsidRPr="00676837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2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0375C17A" w:rsidR="009B10E0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7683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4F62B729" w14:textId="7591DDBB" w:rsidR="00C759FB" w:rsidRPr="000961ED" w:rsidRDefault="00C759FB" w:rsidP="00676837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9B10E0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74DDEA35" w:rsidR="00347970" w:rsidRPr="009B10E0" w:rsidRDefault="009B10E0" w:rsidP="009B10E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OBOJENIH METALA I LEGURA SUČELJENIM SPOJEM TIG (141) POSTUPKOM </w:t>
            </w:r>
          </w:p>
        </w:tc>
      </w:tr>
      <w:tr w:rsidR="00347970" w:rsidRPr="009B10E0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9B10E0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9B10E0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78710C16" w:rsidR="00347970" w:rsidRPr="009B10E0" w:rsidRDefault="00C76AAA" w:rsidP="00584135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3" w:history="1">
              <w:r w:rsidR="00723AB5" w:rsidRPr="009B10E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https://hko.srce.hr/registar/skup-ishoda-ucenja/detalji/2368</w:t>
              </w:r>
            </w:hyperlink>
            <w:r w:rsidR="00723AB5" w:rsidRPr="009B10E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9B10E0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EC2BB1E" w14:textId="2B3C11FE" w:rsidR="00347970" w:rsidRDefault="00CB66FA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B974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301D0DAA" w:rsidR="009B10E0" w:rsidRPr="009B10E0" w:rsidRDefault="00B55444" w:rsidP="00B97467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obojenih metala i legura sučeljenim spojem TIG (141) postupkom (</w:t>
            </w:r>
            <w:r w:rsidRPr="008E0DC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7 CSVET)</w:t>
            </w:r>
          </w:p>
        </w:tc>
      </w:tr>
      <w:tr w:rsidR="00347970" w:rsidRPr="009B10E0" w14:paraId="70E51CDA" w14:textId="77777777" w:rsidTr="009B10E0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9B10E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9B10E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9B10E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9B10E0" w14:paraId="3809717B" w14:textId="77777777" w:rsidTr="009B10E0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73815D2A" w:rsidR="00347970" w:rsidRPr="009B10E0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32495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1156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32495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6 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C362F4E" w14:textId="1538D2C8" w:rsidR="00347970" w:rsidRPr="009B10E0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32495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1156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432495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0C792380" w:rsidR="00347970" w:rsidRPr="009B10E0" w:rsidRDefault="0043249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A33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9B10E0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9B10E0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9B10E0" w14:paraId="1D1B42AF" w14:textId="77777777" w:rsidTr="00EF5A23">
        <w:trPr>
          <w:trHeight w:val="2217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9B10E0" w:rsidRDefault="00223236" w:rsidP="00137DAC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</w:pPr>
            <w:r w:rsidRPr="009B10E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 xml:space="preserve">Cilj modula je: </w:t>
            </w:r>
          </w:p>
          <w:p w14:paraId="7D86C251" w14:textId="3E872E43" w:rsidR="00A670AF" w:rsidRPr="00EF5A23" w:rsidRDefault="00223236" w:rsidP="00137DA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F5A23">
              <w:rPr>
                <w:rFonts w:cstheme="minorHAnsi"/>
                <w:noProof/>
                <w:sz w:val="20"/>
                <w:szCs w:val="20"/>
              </w:rPr>
              <w:t xml:space="preserve">Stjecanje kompetencija (znanja, vještina i ponašanja) polaznika potrebnih za </w:t>
            </w:r>
            <w:r w:rsidR="00406EFA" w:rsidRPr="00EF5A23">
              <w:rPr>
                <w:rFonts w:cstheme="minorHAnsi"/>
                <w:noProof/>
                <w:sz w:val="20"/>
                <w:szCs w:val="20"/>
              </w:rPr>
              <w:t>zavarivanje obojenih metala i legura</w:t>
            </w:r>
            <w:r w:rsidR="00394E8A" w:rsidRPr="00EF5A2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EF5A23">
              <w:rPr>
                <w:rFonts w:cstheme="minorHAnsi"/>
                <w:noProof/>
                <w:sz w:val="20"/>
                <w:szCs w:val="20"/>
              </w:rPr>
              <w:t xml:space="preserve">sučeljenim spojem </w:t>
            </w:r>
            <w:r w:rsidR="00AE53B5" w:rsidRPr="00EF5A23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EF5A23">
              <w:rPr>
                <w:rFonts w:cstheme="minorHAnsi"/>
                <w:noProof/>
                <w:sz w:val="20"/>
                <w:szCs w:val="20"/>
              </w:rPr>
              <w:t xml:space="preserve"> postupkom na siguran način.</w:t>
            </w:r>
          </w:p>
          <w:p w14:paraId="78DBA379" w14:textId="12E7B284" w:rsidR="00223236" w:rsidRPr="009B10E0" w:rsidRDefault="00223236" w:rsidP="00137DAC">
            <w:pPr>
              <w:spacing w:after="0"/>
              <w:ind w:left="91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S</w:t>
            </w:r>
            <w:r w:rsidR="00A670AF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am proces obuhvaća 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dosljednu primjenu</w:t>
            </w:r>
            <w:r w:rsidR="00A670AF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propisa zaštite na radu i zaštite okoliša te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propisanih tehnologija i tehnika zavarivanja </w:t>
            </w:r>
            <w:r w:rsidR="00A670AF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zahtjeva kvalitete u cjelokupnom procesu zavarivanja od pripreme, </w:t>
            </w:r>
            <w:r w:rsidR="00A670AF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postupka 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zavarivanja do ocjene kvalitete zavarenog spoja.</w:t>
            </w:r>
          </w:p>
        </w:tc>
      </w:tr>
      <w:tr w:rsidR="00347970" w:rsidRPr="009B10E0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731FE3F0" w:rsidR="00347970" w:rsidRPr="00EF5A23" w:rsidRDefault="00BE1577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EF5A2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9B10E0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Pr="009B10E0" w:rsidRDefault="00F10BC4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Pr="009B10E0" w:rsidRDefault="00BB3340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3378E75" w14:textId="46CED761" w:rsidR="00DB00AF" w:rsidRPr="008F78AB" w:rsidRDefault="00DB00AF" w:rsidP="00137DA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F78AB">
              <w:rPr>
                <w:rFonts w:cstheme="minorHAnsi"/>
                <w:noProof/>
                <w:sz w:val="20"/>
                <w:szCs w:val="20"/>
              </w:rPr>
              <w:t>Na simulatoru zavarivanja (VWTS – virtualnom trening sustavu zavarivanja) – maksimalno 60%</w:t>
            </w:r>
          </w:p>
          <w:p w14:paraId="356102C2" w14:textId="6F75C60B" w:rsidR="00DB00AF" w:rsidRPr="008F78AB" w:rsidRDefault="00DB00AF" w:rsidP="00137DA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F78AB">
              <w:rPr>
                <w:rFonts w:cstheme="minorHAnsi"/>
                <w:noProof/>
                <w:sz w:val="20"/>
                <w:szCs w:val="20"/>
              </w:rPr>
              <w:t>trening tehnike zavarivanja TIG (141) postupkom vođen virtualnim trenerom. Vježbaju se: brzina zavarivanja, dužina električnog luka, kut nagiba gorionika, pozicija, frekvencija i kut gorionika i dodatnog  materijala.</w:t>
            </w:r>
          </w:p>
          <w:p w14:paraId="6ABDD8D5" w14:textId="436B5294" w:rsidR="009C2DDF" w:rsidRPr="00A8003D" w:rsidRDefault="009C2DDF" w:rsidP="00137DA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8003D">
              <w:rPr>
                <w:rFonts w:cstheme="minorHAnsi"/>
                <w:noProof/>
                <w:sz w:val="20"/>
                <w:szCs w:val="20"/>
              </w:rPr>
              <w:t xml:space="preserve">zavarivanje u uvjetima simulacije bez pomoći </w:t>
            </w:r>
            <w:r w:rsidR="005C5840" w:rsidRPr="00A8003D">
              <w:rPr>
                <w:rFonts w:cstheme="minorHAnsi"/>
                <w:noProof/>
                <w:sz w:val="20"/>
                <w:szCs w:val="20"/>
              </w:rPr>
              <w:t>virtualnog trenera</w:t>
            </w:r>
            <w:r w:rsidRPr="00A8003D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487742E7" w14:textId="7C92BEC8" w:rsidR="00BB3340" w:rsidRPr="008F78AB" w:rsidRDefault="005C5840" w:rsidP="00137DA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F78AB">
              <w:rPr>
                <w:rFonts w:cstheme="minorHAnsi"/>
                <w:noProof/>
                <w:sz w:val="20"/>
                <w:szCs w:val="20"/>
              </w:rPr>
              <w:t>Z</w:t>
            </w:r>
            <w:r w:rsidR="00BB3340" w:rsidRPr="008F78AB">
              <w:rPr>
                <w:rFonts w:cstheme="minorHAnsi"/>
                <w:noProof/>
                <w:sz w:val="20"/>
                <w:szCs w:val="20"/>
              </w:rPr>
              <w:t xml:space="preserve">avarivanjem u stvarnim uvjetima – minimalno </w:t>
            </w:r>
            <w:r w:rsidR="009627A4" w:rsidRPr="008F78AB">
              <w:rPr>
                <w:rFonts w:cstheme="minorHAnsi"/>
                <w:noProof/>
                <w:sz w:val="20"/>
                <w:szCs w:val="20"/>
              </w:rPr>
              <w:t>4</w:t>
            </w:r>
            <w:r w:rsidR="00BB3340" w:rsidRPr="008F78AB">
              <w:rPr>
                <w:rFonts w:cstheme="minorHAnsi"/>
                <w:noProof/>
                <w:sz w:val="20"/>
                <w:szCs w:val="20"/>
              </w:rPr>
              <w:t>0%</w:t>
            </w:r>
          </w:p>
          <w:p w14:paraId="52377E6C" w14:textId="2181376F" w:rsidR="009C2DDF" w:rsidRPr="009B10E0" w:rsidRDefault="009C2DDF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Zavaruju se </w:t>
            </w:r>
            <w:r w:rsidR="0093047C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obojeni metali i legure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 stvarnim radioničkim uvjetima.</w:t>
            </w:r>
          </w:p>
          <w:p w14:paraId="79F7D95C" w14:textId="00904ED4" w:rsidR="009C2DDF" w:rsidRPr="009B10E0" w:rsidRDefault="009C2DDF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 oba oblika učenja temeljenog na radu osnovni dokument za propisivanje tehnologije i tehnike rada je Specifikacija postupka zavarivanja </w:t>
            </w:r>
            <w:r w:rsidR="00A92451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koju izrađuje nastavnik i/ili strukovni učitelj</w:t>
            </w:r>
            <w:r w:rsidR="00D3742B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(trener)</w:t>
            </w:r>
            <w:r w:rsidR="00A92451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 </w:t>
            </w:r>
            <w:r w:rsidR="005C5840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sučeljene</w:t>
            </w:r>
            <w:r w:rsidR="00A92451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zavarene spojeve definirane u tablici </w:t>
            </w:r>
            <w:r w:rsidR="005C5840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koja je sastavni dio ovog programa (Vježbe 1. dio i Vježbe 2. dio)</w:t>
            </w:r>
            <w:r w:rsidR="00A92451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16D2EB46" w14:textId="73B3AB64" w:rsidR="001F2539" w:rsidRPr="009B10E0" w:rsidRDefault="005C5840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9B10E0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6BA44338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0C4F1C8E" w14:textId="618BA9E7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52073D2A" w14:textId="3E9E2CAF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A. Babić: „Osnove tehničkih materijala“: udžbenik za srednje trogodišnje škole, Školska knjiga, Zagreb, 2007..</w:t>
            </w:r>
          </w:p>
          <w:p w14:paraId="7AC25C54" w14:textId="407DD856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0D5D0E2F" w14:textId="283FB80B" w:rsidR="00D3742B" w:rsidRPr="004F5AF6" w:rsidRDefault="00BE1577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D3742B" w:rsidRPr="004F5AF6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45F5EABB" w14:textId="188D5641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063AD09E" w14:textId="5FA3F2C7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116EE2F5" w14:textId="77777777" w:rsid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</w:p>
          <w:p w14:paraId="7998EC06" w14:textId="7A57B2AF" w:rsidR="0058367F" w:rsidRPr="004F5AF6" w:rsidRDefault="0058367F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659AB8BC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BADF61C" w14:textId="77777777" w:rsidR="00973012" w:rsidRDefault="00973012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159"/>
        <w:gridCol w:w="6020"/>
      </w:tblGrid>
      <w:tr w:rsidR="00347970" w:rsidRPr="00534EED" w14:paraId="4B5EDDE6" w14:textId="77777777" w:rsidTr="00384761">
        <w:trPr>
          <w:trHeight w:val="409"/>
        </w:trPr>
        <w:tc>
          <w:tcPr>
            <w:tcW w:w="1826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0548DA8C" w:rsidR="00347970" w:rsidRPr="00534EED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</w:t>
            </w:r>
            <w:r w:rsidR="004C4B52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3174" w:type="pct"/>
            <w:shd w:val="clear" w:color="auto" w:fill="auto"/>
            <w:vAlign w:val="center"/>
          </w:tcPr>
          <w:p w14:paraId="395D4CFA" w14:textId="73455E69" w:rsidR="00347970" w:rsidRPr="00534EED" w:rsidRDefault="00406EFA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C471F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="00384027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(141)</w:t>
            </w:r>
            <w:r w:rsidR="00871A51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A5986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postupkom</w:t>
            </w:r>
            <w:r w:rsidR="00401FE3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7 CSVET</w:t>
            </w:r>
          </w:p>
        </w:tc>
      </w:tr>
      <w:tr w:rsidR="00347970" w:rsidRPr="00534EED" w14:paraId="1AFCA61B" w14:textId="77777777" w:rsidTr="00384761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534EED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534EED" w14:paraId="01E5C7FC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C10EA07" w:rsidR="00347970" w:rsidRPr="00534EED" w:rsidRDefault="00384027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534EED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534EED" w14:paraId="11369654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7FED7460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534EED" w14:paraId="6E22D4D5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1167898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 xml:space="preserve">Izvoditi </w:t>
            </w:r>
            <w:r w:rsidR="00D564FF" w:rsidRPr="00534EED">
              <w:rPr>
                <w:rFonts w:cstheme="minorHAnsi"/>
                <w:noProof/>
                <w:sz w:val="20"/>
                <w:szCs w:val="20"/>
              </w:rPr>
              <w:t>sučeljene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 xml:space="preserve"> zavare u jednom ili više prolaza.</w:t>
            </w:r>
          </w:p>
        </w:tc>
      </w:tr>
      <w:tr w:rsidR="00347970" w:rsidRPr="00534EED" w14:paraId="7E925722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5E8C6FBB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 xml:space="preserve">Provesti vizualno ispitivanje vlastitog rada i poduzeti potrebne radnje u vlastitoj nadležnosti za uklanjanje </w:t>
            </w:r>
            <w:r w:rsidR="00534EED">
              <w:rPr>
                <w:rFonts w:cstheme="minorHAnsi"/>
                <w:noProof/>
                <w:sz w:val="20"/>
                <w:szCs w:val="20"/>
              </w:rPr>
              <w:t>n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>epravilnosti</w:t>
            </w:r>
          </w:p>
        </w:tc>
      </w:tr>
      <w:tr w:rsidR="00347970" w:rsidRPr="00534EED" w14:paraId="76296BF3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47CC0B26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534EED" w14:paraId="0207DD5D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BE2D613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534EED" w14:paraId="2EE75390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1DE4DDCE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534EED" w14:paraId="18C1C003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4514567E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9627A4" w:rsidRPr="00534EED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>, kablov</w:t>
            </w:r>
            <w:r w:rsidR="00871A51" w:rsidRPr="00534EED">
              <w:rPr>
                <w:rFonts w:cstheme="minorHAnsi"/>
                <w:noProof/>
                <w:sz w:val="20"/>
                <w:szCs w:val="20"/>
              </w:rPr>
              <w:t>e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>, itd.)</w:t>
            </w:r>
          </w:p>
        </w:tc>
      </w:tr>
      <w:tr w:rsidR="00347970" w:rsidRPr="00534EED" w14:paraId="3894608F" w14:textId="77777777" w:rsidTr="00384761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534EED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534EED" w14:paraId="125751AF" w14:textId="77777777" w:rsidTr="00384761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5F463982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557E3B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ako je potrebno,</w:t>
            </w: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izvođenjem </w:t>
            </w:r>
            <w:r w:rsidR="00557E3B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sučeljenih</w:t>
            </w: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na stjecanje znanja i vještina potrebnih za obavljanje poslova vezanih za </w:t>
            </w:r>
            <w:r w:rsidR="00406EFA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zavarivanje obojenih metala i legura</w:t>
            </w:r>
            <w:r w:rsidR="00407C73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sučeljenim</w:t>
            </w: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spojem </w:t>
            </w:r>
            <w:r w:rsidR="001B6722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TIG</w:t>
            </w: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29D796B2" w14:textId="77777777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Pr="00534EED" w:rsidRDefault="00522BAF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0DD8B60" w14:textId="1609C1D5" w:rsidR="00557E3B" w:rsidRPr="00534EED" w:rsidRDefault="00557E3B" w:rsidP="00534EED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34EED">
              <w:rPr>
                <w:rFonts w:cstheme="minorHAnsi"/>
                <w:bCs/>
                <w:noProof/>
                <w:sz w:val="20"/>
                <w:szCs w:val="20"/>
              </w:rPr>
              <w:t>Rad na simulatoru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0521C52C" w:rsidR="00347970" w:rsidRPr="00534EED" w:rsidRDefault="00557E3B" w:rsidP="00534EE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34EED">
              <w:rPr>
                <w:rFonts w:cstheme="minorHAnsi"/>
                <w:bCs/>
                <w:noProof/>
                <w:sz w:val="20"/>
                <w:szCs w:val="20"/>
              </w:rPr>
              <w:t>Rad na uređajima za zavarivanje TIG (141) postupkom, minimalno 40%,  prema Specifikaciji postupka zavarivanja (WPS) temeljenoj na zavarivanju spojeva definiranih u tablici (Vježbe 1.dio i Vježbe 2.dio) koja je sastavni dio ovog programa.</w:t>
            </w:r>
          </w:p>
        </w:tc>
      </w:tr>
      <w:tr w:rsidR="00D3742B" w:rsidRPr="00534EED" w14:paraId="79BC139A" w14:textId="77777777" w:rsidTr="00384761">
        <w:tc>
          <w:tcPr>
            <w:tcW w:w="121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37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467A2AB2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Tehnologija zavarivanja</w:t>
            </w:r>
            <w:r w:rsidR="00557E3B"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sučeljenih spojeva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E53B5"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66BE6D38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Parametri zavarivnja</w:t>
            </w:r>
          </w:p>
          <w:p w14:paraId="3270F6E1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Specifikacija postupka zavarivanja (SPZ (WPS))</w:t>
            </w:r>
          </w:p>
          <w:p w14:paraId="32BBE10B" w14:textId="3235FB15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za zavarivanje</w:t>
            </w:r>
          </w:p>
          <w:p w14:paraId="6CB52B86" w14:textId="4C6DC3F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Priprema okoline za zavarivanje</w:t>
            </w:r>
            <w:r w:rsidR="00557E3B" w:rsidRPr="00534EED">
              <w:rPr>
                <w:rFonts w:cstheme="minorHAnsi"/>
                <w:noProof/>
                <w:sz w:val="20"/>
                <w:szCs w:val="20"/>
              </w:rPr>
              <w:t xml:space="preserve"> obojenih metala i legura</w:t>
            </w:r>
          </w:p>
          <w:p w14:paraId="7D53AD49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Podešavanje parametara zavarivanja u skladu sa (SPZ (WPS))</w:t>
            </w:r>
          </w:p>
          <w:p w14:paraId="0E2BC23B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Postupanje s osnovnim, dodatnim i ostalim materijalma</w:t>
            </w:r>
          </w:p>
          <w:p w14:paraId="3FC71CE3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Priprema zavarivanja i predgrijavanje</w:t>
            </w:r>
          </w:p>
          <w:p w14:paraId="54AC06EE" w14:textId="58128A73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Tehnike</w:t>
            </w:r>
            <w:r w:rsidR="00557E3B"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zavarivanja obojenih metala i legura sučeljenim spojem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E53B5"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6692C9D3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Izvođenje postupka zavarivanja</w:t>
            </w:r>
          </w:p>
          <w:p w14:paraId="28559D0A" w14:textId="3BB6F682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Osiguranje kvalitete zavarenog spoja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ab/>
            </w:r>
          </w:p>
          <w:p w14:paraId="777645FF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Vizualni pregled zavarenog spoja</w:t>
            </w:r>
          </w:p>
          <w:p w14:paraId="0F683EC7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Analiza učinjenih pogrešaka</w:t>
            </w:r>
          </w:p>
          <w:p w14:paraId="4064E543" w14:textId="2D3D0494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F10BC4" w:rsidRPr="00534EED" w14:paraId="6DAF745C" w14:textId="77777777" w:rsidTr="00384761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534EE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10BC4" w:rsidRPr="00534EED" w14:paraId="56362BD5" w14:textId="77777777" w:rsidTr="00384761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548CD3DD" w:rsidR="00F10BC4" w:rsidRPr="00534EED" w:rsidRDefault="00F10BC4" w:rsidP="004D0A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BC7635" w:rsidRP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učenja temeljenog na radu </w:t>
            </w:r>
            <w:r w:rsidR="00BC7635" w:rsidRP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i/ili mentor kod poslodavca</w:t>
            </w:r>
            <w:r w:rsid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kontinuirano prati rad skupine na simulatoru i po potrebi vrši korektivne akcije. Polaznici u realnom zavarivanju također rade u paru i međusobno se korigiraju. Svaki završeni uradak analizira se s nastavnikom </w:t>
            </w:r>
            <w:r w:rsidR="00BC7635" w:rsidRP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</w:t>
            </w:r>
            <w:r w:rsid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om</w:t>
            </w:r>
            <w:r w:rsidR="00BC7635" w:rsidRP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kod poslodavca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534EED" w:rsidRDefault="00F10BC4" w:rsidP="004D0A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6D67C134" w14:textId="347AEE85" w:rsidR="00694F01" w:rsidRPr="00C659C1" w:rsidRDefault="00694F01" w:rsidP="00C659C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59C1">
              <w:rPr>
                <w:rFonts w:cstheme="minorHAnsi"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 ostvarene rezultate:</w:t>
            </w:r>
          </w:p>
          <w:p w14:paraId="406BD74F" w14:textId="12EBD7C4" w:rsidR="00694F01" w:rsidRPr="00C659C1" w:rsidRDefault="00694F01" w:rsidP="00C659C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59C1">
              <w:rPr>
                <w:rFonts w:cstheme="minorHAnsi"/>
                <w:noProof/>
                <w:sz w:val="20"/>
                <w:szCs w:val="20"/>
              </w:rPr>
              <w:t>za gorionik: brzinu, dužinu luka, kut nagiba, poziciju, frekvenciju i kut.</w:t>
            </w:r>
          </w:p>
          <w:p w14:paraId="042FCF70" w14:textId="35628982" w:rsidR="00694F01" w:rsidRPr="00C659C1" w:rsidRDefault="00694F01" w:rsidP="00C659C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59C1">
              <w:rPr>
                <w:rFonts w:cstheme="minorHAnsi"/>
                <w:noProof/>
                <w:sz w:val="20"/>
                <w:szCs w:val="20"/>
              </w:rPr>
              <w:t>za dodatni materijal:  brzinu, dužinu luka, kut nagiba, poziciju, frekvenciju i kut.</w:t>
            </w:r>
          </w:p>
          <w:p w14:paraId="70DCF2BA" w14:textId="5282579B" w:rsidR="00F10BC4" w:rsidRPr="00534EED" w:rsidRDefault="00F10BC4" w:rsidP="004D0A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22FF4605" w:rsidR="007444DE" w:rsidRPr="00384F60" w:rsidRDefault="007444DE" w:rsidP="00384F60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84F60">
              <w:rPr>
                <w:rFonts w:cstheme="minorHAnsi"/>
                <w:noProof/>
                <w:sz w:val="20"/>
                <w:szCs w:val="20"/>
              </w:rPr>
              <w:t xml:space="preserve">Formativno vrjednovanje </w:t>
            </w:r>
            <w:r w:rsidR="00557E3B" w:rsidRPr="00384F60">
              <w:rPr>
                <w:rFonts w:cstheme="minorHAnsi"/>
                <w:noProof/>
                <w:sz w:val="20"/>
                <w:szCs w:val="20"/>
              </w:rPr>
              <w:t xml:space="preserve">stvarnog </w:t>
            </w:r>
            <w:r w:rsidRPr="00384F60">
              <w:rPr>
                <w:rFonts w:cstheme="minorHAnsi"/>
                <w:noProof/>
                <w:sz w:val="20"/>
                <w:szCs w:val="20"/>
              </w:rPr>
              <w:t>zavarivanja</w:t>
            </w:r>
            <w:r w:rsidR="00D6590A" w:rsidRPr="00384F60">
              <w:rPr>
                <w:rFonts w:cstheme="minorHAnsi"/>
                <w:noProof/>
                <w:sz w:val="20"/>
                <w:szCs w:val="20"/>
              </w:rPr>
              <w:t xml:space="preserve"> sučeljenog spoja</w:t>
            </w:r>
            <w:r w:rsidR="0062219A" w:rsidRPr="00384F60">
              <w:rPr>
                <w:rFonts w:cstheme="minorHAnsi"/>
                <w:noProof/>
                <w:sz w:val="20"/>
                <w:szCs w:val="20"/>
              </w:rPr>
              <w:t xml:space="preserve"> obojenih metala i legura</w:t>
            </w:r>
            <w:r w:rsidRPr="00384F6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AE53B5" w:rsidRPr="00384F60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384F60">
              <w:rPr>
                <w:rFonts w:cstheme="minorHAnsi"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534EED" w:rsidRDefault="007444DE" w:rsidP="004D0A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2AE6F43D" w14:textId="29929EAD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9348BE4" w14:textId="53447181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6FE7B1D2" w14:textId="778FA5F0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269DB934" w14:textId="3642A7C1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0BD6D9BC" w14:textId="3340C256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C6BAC9B" w14:textId="22894AAA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 xml:space="preserve">Kompetentno izvođenje zadatka </w:t>
            </w:r>
            <w:r w:rsidR="00AE53B5" w:rsidRPr="004D0A70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4D0A70">
              <w:rPr>
                <w:rFonts w:cstheme="minorHAnsi"/>
                <w:noProof/>
                <w:sz w:val="20"/>
                <w:szCs w:val="20"/>
              </w:rPr>
              <w:t xml:space="preserve"> postupkom zavarivanja</w:t>
            </w:r>
          </w:p>
          <w:p w14:paraId="59C98FB2" w14:textId="77F413CB" w:rsidR="007444DE" w:rsidRPr="004D0A70" w:rsidRDefault="00557E3B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I</w:t>
            </w:r>
            <w:r w:rsidR="007444DE" w:rsidRPr="004D0A70">
              <w:rPr>
                <w:rFonts w:cstheme="minorHAnsi"/>
                <w:noProof/>
                <w:sz w:val="20"/>
                <w:szCs w:val="20"/>
              </w:rPr>
              <w:t>zvođenj</w:t>
            </w:r>
            <w:r w:rsidRPr="004D0A70">
              <w:rPr>
                <w:rFonts w:cstheme="minorHAnsi"/>
                <w:noProof/>
                <w:sz w:val="20"/>
                <w:szCs w:val="20"/>
              </w:rPr>
              <w:t>e</w:t>
            </w:r>
            <w:r w:rsidR="007444DE" w:rsidRPr="004D0A70">
              <w:rPr>
                <w:rFonts w:cstheme="minorHAnsi"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49A9441" w14:textId="013BA991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Vizualni pregled završenog zavara.</w:t>
            </w:r>
          </w:p>
          <w:p w14:paraId="59364D5D" w14:textId="4F5D5DE8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1342DB21" w14:textId="36880357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31C1BEFB" w14:textId="773809D6" w:rsidR="00432495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70892222" w14:textId="77777777" w:rsidR="004632CF" w:rsidRPr="00534EED" w:rsidRDefault="004632CF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00A434F" w14:textId="24B63AB0" w:rsidR="007B0C72" w:rsidRPr="00534EED" w:rsidRDefault="001156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63EBF8C9" w14:textId="77777777" w:rsidR="00F10BC4" w:rsidRPr="00534EE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Vježbe 1. dio: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"/>
              <w:gridCol w:w="1683"/>
              <w:gridCol w:w="1315"/>
              <w:gridCol w:w="1438"/>
              <w:gridCol w:w="2324"/>
              <w:gridCol w:w="2281"/>
            </w:tblGrid>
            <w:tr w:rsidR="007B0C72" w:rsidRPr="00534EED" w14:paraId="19BB2DD1" w14:textId="77777777" w:rsidTr="00384761">
              <w:trPr>
                <w:trHeight w:hRule="exact" w:val="624"/>
              </w:trPr>
              <w:tc>
                <w:tcPr>
                  <w:tcW w:w="160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534EED" w:rsidRDefault="007B0C72" w:rsidP="007B0C7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079481A8" w14:textId="107CE0F3" w:rsidR="007B0C72" w:rsidRPr="00534EED" w:rsidRDefault="00384F60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</w:t>
                  </w:r>
                  <w:r w:rsidR="007B0C72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619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36F00B4B" w:rsidR="007B0C72" w:rsidRPr="00534EED" w:rsidRDefault="00406EFA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obojenih metala i legura</w:t>
                  </w:r>
                  <w:r w:rsidR="00557E3B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6B1A5A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sučeljenim spojem TIG (141) postupkom</w:t>
                  </w:r>
                </w:p>
              </w:tc>
              <w:tc>
                <w:tcPr>
                  <w:tcW w:w="1222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66CBB738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</w:t>
                  </w:r>
                  <w:r w:rsidR="00432495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</w:t>
                  </w: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1, </w:t>
                  </w:r>
                  <w:r w:rsidR="00432495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</w:t>
                  </w: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</w:t>
                  </w:r>
                  <w:r w:rsidR="007430D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7430D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="007430D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23 </w:t>
                  </w: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384761" w:rsidRPr="00534EED" w14:paraId="7C22ACDE" w14:textId="77777777" w:rsidTr="00384761">
              <w:trPr>
                <w:trHeight w:hRule="exact" w:val="724"/>
              </w:trPr>
              <w:tc>
                <w:tcPr>
                  <w:tcW w:w="16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CE4A510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4632C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70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7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24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2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384761" w:rsidRPr="00534EED" w14:paraId="61380D9F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1FB94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90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13A07F" w14:textId="1C143D73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70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0121D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7B4E88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077B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22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97CBBA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84761" w:rsidRPr="00534EED" w14:paraId="31504A53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6F74B0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DC5B4E" w14:textId="62C01078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A7913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B7B72BA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ED31CB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5197824A" wp14:editId="3C6E31D7">
                        <wp:extent cx="927794" cy="602031"/>
                        <wp:effectExtent l="0" t="0" r="5715" b="7620"/>
                        <wp:docPr id="226" name="Slika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85" cy="6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59998F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B9C2BFC" w14:textId="490411CF" w:rsidR="004632CF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384761" w:rsidRPr="00534EED" w14:paraId="39201261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0401BA8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1DD23" w14:textId="59D9E3BB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93D7124" w14:textId="4328F6E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&gt;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2A3B5D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404A0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6A7AE097" wp14:editId="0706F8BF">
                        <wp:extent cx="914147" cy="593176"/>
                        <wp:effectExtent l="0" t="0" r="635" b="0"/>
                        <wp:docPr id="227" name="Slika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023" cy="602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607B9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6A23D8D" w14:textId="2EA5ABFA" w:rsidR="004632CF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384761" w:rsidRPr="00534EED" w14:paraId="00E76A68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6DEA0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B70F3D" w14:textId="368DA44F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D0800E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1FCDA4AE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3369F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75493A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31815C7A" wp14:editId="4AC58ACA">
                        <wp:extent cx="637275" cy="594632"/>
                        <wp:effectExtent l="0" t="0" r="0" b="0"/>
                        <wp:docPr id="52" name="Slika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60" cy="606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274006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88712C2" w14:textId="57F3A646" w:rsidR="004632CF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384761" w:rsidRPr="00534EED" w14:paraId="419D7B7F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E9C7A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B9D7ADB" w14:textId="062DA202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7F0E67" w14:textId="0A7D1DC8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&gt;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C58865E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B27B538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176A3264" wp14:editId="601BD2FC">
                        <wp:extent cx="644099" cy="600999"/>
                        <wp:effectExtent l="0" t="0" r="3810" b="8890"/>
                        <wp:docPr id="54" name="Slika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273" cy="614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70A18E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D5FDC90" w14:textId="701B5C44" w:rsidR="004632CF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410F8B02" w14:textId="0C54A738" w:rsidR="007B0C72" w:rsidRPr="00534EE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D25D9B" w14:textId="7A2C368B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34EED">
              <w:rPr>
                <w:rFonts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93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"/>
              <w:gridCol w:w="1399"/>
              <w:gridCol w:w="1505"/>
              <w:gridCol w:w="1464"/>
              <w:gridCol w:w="1885"/>
              <w:gridCol w:w="2709"/>
            </w:tblGrid>
            <w:tr w:rsidR="007B0C72" w:rsidRPr="00534EED" w14:paraId="41AA1DAE" w14:textId="77777777" w:rsidTr="00384761">
              <w:trPr>
                <w:trHeight w:hRule="exact" w:val="567"/>
                <w:jc w:val="center"/>
              </w:trPr>
              <w:tc>
                <w:tcPr>
                  <w:tcW w:w="4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534EED" w:rsidRDefault="007B0C72" w:rsidP="007B0C7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45AC4195" w14:textId="1ED6AE3B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6385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31EE0CF2" w:rsidR="007B0C72" w:rsidRPr="00534EED" w:rsidRDefault="00406EFA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obojenih metala i legura</w:t>
                  </w:r>
                  <w:r w:rsidR="00557E3B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6B1A5A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sučeljenim</w:t>
                  </w:r>
                  <w:r w:rsidR="007B0C72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spojem </w:t>
                  </w:r>
                  <w:r w:rsidR="00D30CC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TIG </w:t>
                  </w:r>
                  <w:r w:rsidR="006B1A5A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(141) </w:t>
                  </w:r>
                  <w:r w:rsidR="00D30CC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postupkom </w:t>
                  </w:r>
                </w:p>
              </w:tc>
              <w:tc>
                <w:tcPr>
                  <w:tcW w:w="2767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0977DD16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</w:t>
                  </w:r>
                  <w:r w:rsidR="007430D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21, 22 I 23</w:t>
                  </w: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534EED" w14:paraId="35CF4880" w14:textId="77777777" w:rsidTr="00384761">
              <w:trPr>
                <w:trHeight w:hRule="exact" w:val="724"/>
                <w:jc w:val="center"/>
              </w:trPr>
              <w:tc>
                <w:tcPr>
                  <w:tcW w:w="400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49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92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7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6B1A5A" w:rsidRPr="00534EED" w14:paraId="2DED3E52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DA2E56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306BE3" w14:textId="5185CA77" w:rsidR="006B1A5A" w:rsidRPr="00534EED" w:rsidRDefault="004367B1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A7CAB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18B3D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8CF9F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01D24A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A5A" w:rsidRPr="00534EED" w14:paraId="555ACDF6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7C96AD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AD17E2" w14:textId="0CAD84F9" w:rsidR="006B1A5A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279F2F3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6A1BF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BEF5F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5E3D114C" wp14:editId="67CD78D5">
                        <wp:extent cx="614149" cy="623489"/>
                        <wp:effectExtent l="0" t="0" r="0" b="5715"/>
                        <wp:docPr id="491" name="Slika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796" cy="633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83BAA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8EF09E2" w14:textId="23448CB8" w:rsidR="00022A30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534EED" w14:paraId="2890C58B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C2C50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5CB9A6" w14:textId="132DD141" w:rsidR="006B1A5A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4B052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124A1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B13DC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50A1769E" wp14:editId="5D50732C">
                        <wp:extent cx="620973" cy="630417"/>
                        <wp:effectExtent l="0" t="0" r="8255" b="0"/>
                        <wp:docPr id="537" name="Slika 5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854" cy="640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505B19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09BEAEF" w14:textId="0035942C" w:rsidR="00022A30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534EED" w14:paraId="035A7D25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F71C91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70FD3EC" w14:textId="6345585E" w:rsidR="006B1A5A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41D82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6A0D4A3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E442B3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DF7B0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725F4EC6" wp14:editId="4D5E026E">
                        <wp:extent cx="907576" cy="588912"/>
                        <wp:effectExtent l="0" t="0" r="6985" b="1905"/>
                        <wp:docPr id="489" name="Slika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1201" cy="597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1F0D76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57FCFFA" w14:textId="523676A2" w:rsidR="00022A30" w:rsidRPr="00534EED" w:rsidRDefault="00022A30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534EED" w14:paraId="722A5CF5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FA751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942B514" w14:textId="722526D4" w:rsidR="006B1A5A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29944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929999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BF5379A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2A902395" wp14:editId="76B1DB00">
                        <wp:extent cx="900752" cy="584484"/>
                        <wp:effectExtent l="0" t="0" r="0" b="6350"/>
                        <wp:docPr id="490" name="Slika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15882" cy="594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C64F2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962E650" w14:textId="292A8DE0" w:rsidR="00022A30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038157E2" w14:textId="77777777" w:rsidR="006B1A5A" w:rsidRPr="00534EED" w:rsidRDefault="006B1A5A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98ED473" w14:textId="77777777" w:rsidR="006B1A5A" w:rsidRPr="00534EED" w:rsidRDefault="006B1A5A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3287C8A" w14:textId="65F72969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34EED">
              <w:rPr>
                <w:rFonts w:cstheme="minorHAnsi"/>
                <w:b/>
                <w:sz w:val="20"/>
                <w:szCs w:val="20"/>
              </w:rPr>
              <w:t>Formativna procjena</w:t>
            </w:r>
          </w:p>
          <w:p w14:paraId="6E5E6170" w14:textId="1DC19519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34EED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6"/>
              <w:gridCol w:w="1018"/>
              <w:gridCol w:w="1284"/>
              <w:gridCol w:w="1276"/>
              <w:gridCol w:w="1525"/>
              <w:gridCol w:w="1310"/>
              <w:gridCol w:w="2270"/>
            </w:tblGrid>
            <w:tr w:rsidR="007B0C72" w:rsidRPr="00534EED" w14:paraId="1FD047AA" w14:textId="77777777" w:rsidTr="00521715">
              <w:trPr>
                <w:trHeight w:val="510"/>
                <w:jc w:val="center"/>
              </w:trPr>
              <w:tc>
                <w:tcPr>
                  <w:tcW w:w="9269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44D0BF0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10FF8" w:rsidRPr="00534EED" w14:paraId="5A6D9AC6" w14:textId="77777777" w:rsidTr="00A57146">
              <w:trPr>
                <w:trHeight w:val="296"/>
                <w:jc w:val="center"/>
              </w:trPr>
              <w:tc>
                <w:tcPr>
                  <w:tcW w:w="5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0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5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10FF8" w:rsidRPr="00534EED" w14:paraId="4C2AE529" w14:textId="77777777" w:rsidTr="00A57146">
              <w:trPr>
                <w:trHeight w:val="998"/>
                <w:jc w:val="center"/>
              </w:trPr>
              <w:tc>
                <w:tcPr>
                  <w:tcW w:w="58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226AD7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18" w:type="dxa"/>
                  <w:tcBorders>
                    <w:bottom w:val="single" w:sz="12" w:space="0" w:color="auto"/>
                  </w:tcBorders>
                  <w:vAlign w:val="center"/>
                </w:tcPr>
                <w:p w14:paraId="36696591" w14:textId="3DCA0C31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284" w:type="dxa"/>
                  <w:tcBorders>
                    <w:bottom w:val="single" w:sz="12" w:space="0" w:color="auto"/>
                  </w:tcBorders>
                  <w:vAlign w:val="center"/>
                </w:tcPr>
                <w:p w14:paraId="046A2CA4" w14:textId="30B8BAE3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=</w:t>
                  </w:r>
                  <w:r w:rsidR="00A10FF8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  <w:r w:rsidR="00A10FF8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–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783F558F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525" w:type="dxa"/>
                  <w:tcBorders>
                    <w:bottom w:val="single" w:sz="12" w:space="0" w:color="auto"/>
                  </w:tcBorders>
                  <w:vAlign w:val="center"/>
                </w:tcPr>
                <w:p w14:paraId="30C241D1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24A62F10" wp14:editId="16683223">
                        <wp:extent cx="555389" cy="518225"/>
                        <wp:effectExtent l="0" t="0" r="0" b="0"/>
                        <wp:docPr id="463" name="Slika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85" cy="52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0" w:type="dxa"/>
                  <w:tcBorders>
                    <w:bottom w:val="single" w:sz="12" w:space="0" w:color="auto"/>
                  </w:tcBorders>
                  <w:vAlign w:val="center"/>
                </w:tcPr>
                <w:p w14:paraId="077A91F0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763B3F0" w14:textId="6F844C37" w:rsidR="00022A30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227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42D37B" w14:textId="77777777" w:rsidR="00022A30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A10FF8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ISO </w:t>
                  </w:r>
                </w:p>
                <w:p w14:paraId="36FABCD4" w14:textId="53BB85B8" w:rsidR="00A10FF8" w:rsidRPr="00534EED" w:rsidRDefault="007430DF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10042 C</w:t>
                  </w:r>
                </w:p>
              </w:tc>
            </w:tr>
          </w:tbl>
          <w:p w14:paraId="434ED138" w14:textId="55B5FA35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414C9AFF" w14:textId="77777777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269FBA81" w14:textId="10117440" w:rsidR="007B0C72" w:rsidRPr="00534EE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Formativna procjena za vježbe 2: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"/>
              <w:gridCol w:w="1309"/>
              <w:gridCol w:w="1253"/>
              <w:gridCol w:w="1345"/>
              <w:gridCol w:w="1787"/>
              <w:gridCol w:w="1300"/>
              <w:gridCol w:w="1883"/>
            </w:tblGrid>
            <w:tr w:rsidR="0048291A" w:rsidRPr="00534EED" w14:paraId="6FE86E79" w14:textId="77777777" w:rsidTr="00A57146">
              <w:trPr>
                <w:trHeight w:val="624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0E3858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10FF8" w:rsidRPr="00534EED" w14:paraId="38CEFF28" w14:textId="77777777" w:rsidTr="00A57146">
              <w:trPr>
                <w:trHeight w:val="296"/>
                <w:jc w:val="center"/>
              </w:trPr>
              <w:tc>
                <w:tcPr>
                  <w:tcW w:w="2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70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6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5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69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0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10FF8" w:rsidRPr="00534EED" w14:paraId="560F4143" w14:textId="77777777" w:rsidTr="00A57146">
              <w:trPr>
                <w:trHeight w:val="998"/>
                <w:jc w:val="center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9D045A9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D1CE4" w14:textId="6270C6FB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1A2F05" w14:textId="19B55E98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=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–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8AA4A3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DAE88B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1E950C52" wp14:editId="57066D92">
                        <wp:extent cx="593677" cy="602706"/>
                        <wp:effectExtent l="0" t="0" r="0" b="6985"/>
                        <wp:docPr id="538" name="Slika 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BA1D5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1517E28F" w14:textId="67F145D6" w:rsidR="00022A30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008" w:type="pct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B6F766" w14:textId="164B52E8" w:rsidR="00022A30" w:rsidRPr="00534EED" w:rsidRDefault="00022A30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HRN EN ISO </w:t>
                  </w:r>
                </w:p>
                <w:p w14:paraId="505B350E" w14:textId="62B85A1B" w:rsidR="00A10FF8" w:rsidRPr="00534EED" w:rsidRDefault="007430DF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10042 C</w:t>
                  </w:r>
                </w:p>
              </w:tc>
            </w:tr>
            <w:tr w:rsidR="00A10FF8" w:rsidRPr="00534EED" w14:paraId="1267437F" w14:textId="77777777" w:rsidTr="00A57146">
              <w:trPr>
                <w:trHeight w:val="998"/>
                <w:jc w:val="center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4785C0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01" w:type="pct"/>
                  <w:tcBorders>
                    <w:bottom w:val="single" w:sz="12" w:space="0" w:color="auto"/>
                  </w:tcBorders>
                  <w:vAlign w:val="center"/>
                </w:tcPr>
                <w:p w14:paraId="2CE2EB7F" w14:textId="7E042ED0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671" w:type="pct"/>
                  <w:tcBorders>
                    <w:bottom w:val="single" w:sz="12" w:space="0" w:color="auto"/>
                  </w:tcBorders>
                  <w:vAlign w:val="center"/>
                </w:tcPr>
                <w:p w14:paraId="18712B53" w14:textId="17D9B546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=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6 </w:t>
                  </w: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–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720" w:type="pct"/>
                  <w:tcBorders>
                    <w:bottom w:val="single" w:sz="12" w:space="0" w:color="auto"/>
                  </w:tcBorders>
                  <w:vAlign w:val="center"/>
                </w:tcPr>
                <w:p w14:paraId="4897CDDE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957" w:type="pct"/>
                  <w:tcBorders>
                    <w:bottom w:val="single" w:sz="12" w:space="0" w:color="auto"/>
                  </w:tcBorders>
                  <w:vAlign w:val="center"/>
                </w:tcPr>
                <w:p w14:paraId="02C198C4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2CA65454" wp14:editId="03FDEFA3">
                        <wp:extent cx="907576" cy="588912"/>
                        <wp:effectExtent l="0" t="0" r="6985" b="1905"/>
                        <wp:docPr id="546" name="Slika 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2222" cy="59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bottom w:val="single" w:sz="12" w:space="0" w:color="auto"/>
                  </w:tcBorders>
                  <w:vAlign w:val="center"/>
                </w:tcPr>
                <w:p w14:paraId="5F93B0D2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80E45E2" w14:textId="1DF3FB9E" w:rsidR="00022A30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008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FF56F7" w14:textId="77777777" w:rsidR="00022A30" w:rsidRPr="00534EED" w:rsidRDefault="00022A30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HRN EN ISO </w:t>
                  </w:r>
                </w:p>
                <w:p w14:paraId="369BCF2A" w14:textId="43CF4B78" w:rsidR="00A10FF8" w:rsidRPr="00534EED" w:rsidRDefault="007430DF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10042 C</w:t>
                  </w:r>
                </w:p>
              </w:tc>
            </w:tr>
          </w:tbl>
          <w:p w14:paraId="08A570C1" w14:textId="469B25E9" w:rsidR="007B0C72" w:rsidRPr="00534EE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90A442B" w14:textId="25D46004" w:rsidR="0048291A" w:rsidRPr="00534EED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31"/>
              <w:gridCol w:w="942"/>
              <w:gridCol w:w="1902"/>
              <w:gridCol w:w="1766"/>
              <w:gridCol w:w="1253"/>
              <w:gridCol w:w="1253"/>
              <w:gridCol w:w="776"/>
            </w:tblGrid>
            <w:tr w:rsidR="0048291A" w:rsidRPr="00534EED" w14:paraId="56A4BE9C" w14:textId="77777777" w:rsidTr="005A4A6E">
              <w:trPr>
                <w:trHeight w:val="397"/>
              </w:trPr>
              <w:tc>
                <w:tcPr>
                  <w:tcW w:w="76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134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Izvješće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završnog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41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HKO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534EED" w14:paraId="6A606B5A" w14:textId="77777777" w:rsidTr="005A4A6E">
              <w:trPr>
                <w:trHeight w:val="737"/>
              </w:trPr>
              <w:tc>
                <w:tcPr>
                  <w:tcW w:w="76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Kriterij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41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291A" w:rsidRPr="00534EED" w14:paraId="425A1381" w14:textId="77777777" w:rsidTr="005A4A6E">
              <w:trPr>
                <w:trHeight w:val="839"/>
              </w:trPr>
              <w:tc>
                <w:tcPr>
                  <w:tcW w:w="76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14AD7099" w:rsidR="0048291A" w:rsidRPr="00534EED" w:rsidRDefault="008A65F8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PW</w:t>
                  </w:r>
                  <w:r w:rsidR="0048291A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48291A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suče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lje</w:t>
                  </w:r>
                  <w:r w:rsidR="0048291A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ni</w:t>
                  </w:r>
                  <w:proofErr w:type="spellEnd"/>
                  <w:r w:rsidR="0048291A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="0048291A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0A16022F" w:rsidR="0048291A" w:rsidRPr="00534EED" w:rsidRDefault="008A65F8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095E7CAD" wp14:editId="08E1A3C9">
                        <wp:extent cx="593677" cy="602706"/>
                        <wp:effectExtent l="0" t="0" r="0" b="698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D66392" w14:textId="77777777" w:rsidR="007430DF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P</w:t>
                  </w:r>
                  <w:r w:rsidR="008A65F8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F</w:t>
                  </w:r>
                </w:p>
                <w:p w14:paraId="4218A2A3" w14:textId="75CD878F" w:rsidR="008A65F8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 t=</w:t>
                  </w:r>
                  <w:r w:rsidR="008A65F8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 </w:t>
                  </w:r>
                  <w:r w:rsidR="007430DF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6 - 10</w:t>
                  </w:r>
                  <w:r w:rsidR="008A65F8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 </w:t>
                  </w: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mm </w:t>
                  </w:r>
                </w:p>
                <w:p w14:paraId="75C8D2FE" w14:textId="77777777" w:rsidR="007430DF" w:rsidRPr="00534EED" w:rsidRDefault="007430DF" w:rsidP="007430D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492F56B" w14:textId="34535BAD" w:rsidR="0048291A" w:rsidRPr="00534EED" w:rsidRDefault="007430DF" w:rsidP="007430D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Ispitni</w:t>
                  </w:r>
                  <w:proofErr w:type="spellEnd"/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prema</w:t>
                  </w:r>
                  <w:proofErr w:type="spellEnd"/>
                </w:p>
                <w:p w14:paraId="3273FBDE" w14:textId="6D369C38" w:rsidR="0048291A" w:rsidRPr="00534EED" w:rsidRDefault="00022A30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017FECEB" w:rsidR="0048291A" w:rsidRPr="00534EED" w:rsidRDefault="00022A30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41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Pr="00534EED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39D71CB3" w14:textId="77777777" w:rsidR="004519E8" w:rsidRPr="00534EED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3BDA66" w14:textId="202B1BA7" w:rsidR="004519E8" w:rsidRPr="00534EED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F10BC4" w:rsidRPr="00534EED" w14:paraId="644A9997" w14:textId="77777777" w:rsidTr="00115672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534EE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534EED" w14:paraId="6005EA2B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1156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11567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534EE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 w:rsidSect="00973012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885F4" w14:textId="77777777" w:rsidR="00C76AAA" w:rsidRDefault="00C76AAA" w:rsidP="00C759FB">
      <w:pPr>
        <w:spacing w:after="0" w:line="240" w:lineRule="auto"/>
      </w:pPr>
      <w:r>
        <w:separator/>
      </w:r>
    </w:p>
  </w:endnote>
  <w:endnote w:type="continuationSeparator" w:id="0">
    <w:p w14:paraId="1E31D628" w14:textId="77777777" w:rsidR="00C76AAA" w:rsidRDefault="00C76AA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618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AA7CB" w14:textId="00721DAE" w:rsidR="00973012" w:rsidRDefault="00973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FA3AE" w14:textId="77777777" w:rsidR="00973012" w:rsidRDefault="00973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17633" w14:textId="77777777" w:rsidR="00C76AAA" w:rsidRDefault="00C76AAA" w:rsidP="00C759FB">
      <w:pPr>
        <w:spacing w:after="0" w:line="240" w:lineRule="auto"/>
      </w:pPr>
      <w:r>
        <w:separator/>
      </w:r>
    </w:p>
  </w:footnote>
  <w:footnote w:type="continuationSeparator" w:id="0">
    <w:p w14:paraId="16681BE6" w14:textId="77777777" w:rsidR="00C76AAA" w:rsidRDefault="00C76AAA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482"/>
    <w:multiLevelType w:val="hybridMultilevel"/>
    <w:tmpl w:val="E988B5B4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0A9D"/>
    <w:multiLevelType w:val="hybridMultilevel"/>
    <w:tmpl w:val="A6302354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4C9C7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D2093"/>
    <w:multiLevelType w:val="hybridMultilevel"/>
    <w:tmpl w:val="0AF80B40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74AF"/>
    <w:multiLevelType w:val="hybridMultilevel"/>
    <w:tmpl w:val="37868110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413"/>
    <w:multiLevelType w:val="hybridMultilevel"/>
    <w:tmpl w:val="630C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14643"/>
    <w:multiLevelType w:val="hybridMultilevel"/>
    <w:tmpl w:val="54605968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F1282"/>
    <w:multiLevelType w:val="hybridMultilevel"/>
    <w:tmpl w:val="7D9E788A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43132"/>
    <w:multiLevelType w:val="hybridMultilevel"/>
    <w:tmpl w:val="ECEC980C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57A2"/>
    <w:multiLevelType w:val="hybridMultilevel"/>
    <w:tmpl w:val="147C2CDC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A6C54"/>
    <w:multiLevelType w:val="hybridMultilevel"/>
    <w:tmpl w:val="55224CEC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E5453"/>
    <w:multiLevelType w:val="hybridMultilevel"/>
    <w:tmpl w:val="575A9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071C"/>
    <w:multiLevelType w:val="hybridMultilevel"/>
    <w:tmpl w:val="CC6CD8E2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D2A49"/>
    <w:multiLevelType w:val="hybridMultilevel"/>
    <w:tmpl w:val="8ED0362C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7E37"/>
    <w:multiLevelType w:val="hybridMultilevel"/>
    <w:tmpl w:val="90021DDE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02FD7"/>
    <w:multiLevelType w:val="hybridMultilevel"/>
    <w:tmpl w:val="C63C8876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242D4"/>
    <w:multiLevelType w:val="hybridMultilevel"/>
    <w:tmpl w:val="DE78668C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A01C8"/>
    <w:multiLevelType w:val="hybridMultilevel"/>
    <w:tmpl w:val="E7AEC402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8"/>
  </w:num>
  <w:num w:numId="4">
    <w:abstractNumId w:val="14"/>
  </w:num>
  <w:num w:numId="5">
    <w:abstractNumId w:val="23"/>
  </w:num>
  <w:num w:numId="6">
    <w:abstractNumId w:val="4"/>
  </w:num>
  <w:num w:numId="7">
    <w:abstractNumId w:val="5"/>
  </w:num>
  <w:num w:numId="8">
    <w:abstractNumId w:val="15"/>
  </w:num>
  <w:num w:numId="9">
    <w:abstractNumId w:val="29"/>
  </w:num>
  <w:num w:numId="10">
    <w:abstractNumId w:val="16"/>
  </w:num>
  <w:num w:numId="11">
    <w:abstractNumId w:val="21"/>
  </w:num>
  <w:num w:numId="12">
    <w:abstractNumId w:val="2"/>
  </w:num>
  <w:num w:numId="13">
    <w:abstractNumId w:val="12"/>
  </w:num>
  <w:num w:numId="14">
    <w:abstractNumId w:val="24"/>
  </w:num>
  <w:num w:numId="15">
    <w:abstractNumId w:val="0"/>
  </w:num>
  <w:num w:numId="16">
    <w:abstractNumId w:val="19"/>
  </w:num>
  <w:num w:numId="17">
    <w:abstractNumId w:val="9"/>
  </w:num>
  <w:num w:numId="18">
    <w:abstractNumId w:val="31"/>
  </w:num>
  <w:num w:numId="19">
    <w:abstractNumId w:val="20"/>
  </w:num>
  <w:num w:numId="20">
    <w:abstractNumId w:val="13"/>
  </w:num>
  <w:num w:numId="21">
    <w:abstractNumId w:val="8"/>
  </w:num>
  <w:num w:numId="22">
    <w:abstractNumId w:val="30"/>
  </w:num>
  <w:num w:numId="23">
    <w:abstractNumId w:val="1"/>
  </w:num>
  <w:num w:numId="24">
    <w:abstractNumId w:val="27"/>
  </w:num>
  <w:num w:numId="25">
    <w:abstractNumId w:val="25"/>
  </w:num>
  <w:num w:numId="26">
    <w:abstractNumId w:val="34"/>
  </w:num>
  <w:num w:numId="27">
    <w:abstractNumId w:val="18"/>
  </w:num>
  <w:num w:numId="28">
    <w:abstractNumId w:val="22"/>
  </w:num>
  <w:num w:numId="29">
    <w:abstractNumId w:val="33"/>
  </w:num>
  <w:num w:numId="30">
    <w:abstractNumId w:val="11"/>
  </w:num>
  <w:num w:numId="31">
    <w:abstractNumId w:val="10"/>
  </w:num>
  <w:num w:numId="32">
    <w:abstractNumId w:val="32"/>
  </w:num>
  <w:num w:numId="33">
    <w:abstractNumId w:val="6"/>
  </w:num>
  <w:num w:numId="34">
    <w:abstractNumId w:val="35"/>
  </w:num>
  <w:num w:numId="35">
    <w:abstractNumId w:val="36"/>
  </w:num>
  <w:num w:numId="36">
    <w:abstractNumId w:val="26"/>
  </w:num>
  <w:num w:numId="37">
    <w:abstractNumId w:val="3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1280"/>
    <w:rsid w:val="00001F92"/>
    <w:rsid w:val="00004FBA"/>
    <w:rsid w:val="00005F91"/>
    <w:rsid w:val="00012313"/>
    <w:rsid w:val="000136B6"/>
    <w:rsid w:val="00022A30"/>
    <w:rsid w:val="00027D49"/>
    <w:rsid w:val="00067C56"/>
    <w:rsid w:val="00080425"/>
    <w:rsid w:val="000961ED"/>
    <w:rsid w:val="000A3A4D"/>
    <w:rsid w:val="000E25D8"/>
    <w:rsid w:val="000E750B"/>
    <w:rsid w:val="000F582E"/>
    <w:rsid w:val="00103CA6"/>
    <w:rsid w:val="00115672"/>
    <w:rsid w:val="00137DAC"/>
    <w:rsid w:val="00140D5D"/>
    <w:rsid w:val="00147F17"/>
    <w:rsid w:val="00180D61"/>
    <w:rsid w:val="00192B85"/>
    <w:rsid w:val="001B6722"/>
    <w:rsid w:val="001E3E79"/>
    <w:rsid w:val="001F2539"/>
    <w:rsid w:val="001F3122"/>
    <w:rsid w:val="001F53EE"/>
    <w:rsid w:val="00203289"/>
    <w:rsid w:val="00206F4C"/>
    <w:rsid w:val="002132BF"/>
    <w:rsid w:val="00223236"/>
    <w:rsid w:val="002300DB"/>
    <w:rsid w:val="002362B3"/>
    <w:rsid w:val="00256B01"/>
    <w:rsid w:val="002849BD"/>
    <w:rsid w:val="00293677"/>
    <w:rsid w:val="002C0A97"/>
    <w:rsid w:val="002F0D76"/>
    <w:rsid w:val="002F642F"/>
    <w:rsid w:val="00343228"/>
    <w:rsid w:val="00347970"/>
    <w:rsid w:val="00347CB3"/>
    <w:rsid w:val="00365791"/>
    <w:rsid w:val="00384027"/>
    <w:rsid w:val="00384761"/>
    <w:rsid w:val="00384F60"/>
    <w:rsid w:val="0039469C"/>
    <w:rsid w:val="00394E8A"/>
    <w:rsid w:val="003A196D"/>
    <w:rsid w:val="003A4750"/>
    <w:rsid w:val="003B1420"/>
    <w:rsid w:val="003B60EA"/>
    <w:rsid w:val="00401FE3"/>
    <w:rsid w:val="00406BA6"/>
    <w:rsid w:val="00406EFA"/>
    <w:rsid w:val="00407C73"/>
    <w:rsid w:val="004265FE"/>
    <w:rsid w:val="00432495"/>
    <w:rsid w:val="004367B1"/>
    <w:rsid w:val="00443F08"/>
    <w:rsid w:val="004448F3"/>
    <w:rsid w:val="00445D30"/>
    <w:rsid w:val="004519E8"/>
    <w:rsid w:val="004534E2"/>
    <w:rsid w:val="00456CC4"/>
    <w:rsid w:val="004632CF"/>
    <w:rsid w:val="00463697"/>
    <w:rsid w:val="00464DC0"/>
    <w:rsid w:val="004713DC"/>
    <w:rsid w:val="0047200E"/>
    <w:rsid w:val="0048291A"/>
    <w:rsid w:val="00497025"/>
    <w:rsid w:val="004C1623"/>
    <w:rsid w:val="004C4B52"/>
    <w:rsid w:val="004D0A70"/>
    <w:rsid w:val="004D6E21"/>
    <w:rsid w:val="004F5AF6"/>
    <w:rsid w:val="00521715"/>
    <w:rsid w:val="00522BAF"/>
    <w:rsid w:val="00534EED"/>
    <w:rsid w:val="005447CE"/>
    <w:rsid w:val="00551BA7"/>
    <w:rsid w:val="00557E3B"/>
    <w:rsid w:val="005676DE"/>
    <w:rsid w:val="0058367F"/>
    <w:rsid w:val="005839F8"/>
    <w:rsid w:val="00584135"/>
    <w:rsid w:val="00585534"/>
    <w:rsid w:val="00594688"/>
    <w:rsid w:val="005975F4"/>
    <w:rsid w:val="00597AC6"/>
    <w:rsid w:val="005A4A6E"/>
    <w:rsid w:val="005A5986"/>
    <w:rsid w:val="005B7783"/>
    <w:rsid w:val="005B794A"/>
    <w:rsid w:val="005C02E4"/>
    <w:rsid w:val="005C5840"/>
    <w:rsid w:val="005C7046"/>
    <w:rsid w:val="005F3026"/>
    <w:rsid w:val="006174E6"/>
    <w:rsid w:val="0062219A"/>
    <w:rsid w:val="0062346F"/>
    <w:rsid w:val="00642D18"/>
    <w:rsid w:val="00651612"/>
    <w:rsid w:val="00651768"/>
    <w:rsid w:val="00672EED"/>
    <w:rsid w:val="006754F6"/>
    <w:rsid w:val="00676837"/>
    <w:rsid w:val="00694F01"/>
    <w:rsid w:val="006A19E2"/>
    <w:rsid w:val="006A3418"/>
    <w:rsid w:val="006B02AC"/>
    <w:rsid w:val="006B0E65"/>
    <w:rsid w:val="006B163E"/>
    <w:rsid w:val="006B1A5A"/>
    <w:rsid w:val="006C3038"/>
    <w:rsid w:val="006D30A2"/>
    <w:rsid w:val="00723AB5"/>
    <w:rsid w:val="0072574F"/>
    <w:rsid w:val="00726512"/>
    <w:rsid w:val="007422C0"/>
    <w:rsid w:val="007430DF"/>
    <w:rsid w:val="007444DE"/>
    <w:rsid w:val="00746553"/>
    <w:rsid w:val="0079234F"/>
    <w:rsid w:val="00797D1F"/>
    <w:rsid w:val="007A269D"/>
    <w:rsid w:val="007A50A0"/>
    <w:rsid w:val="007B0C72"/>
    <w:rsid w:val="007B3E76"/>
    <w:rsid w:val="007C6192"/>
    <w:rsid w:val="007D2198"/>
    <w:rsid w:val="007D5512"/>
    <w:rsid w:val="007D6DCB"/>
    <w:rsid w:val="007F2563"/>
    <w:rsid w:val="00801751"/>
    <w:rsid w:val="00811CEE"/>
    <w:rsid w:val="00817098"/>
    <w:rsid w:val="0082729A"/>
    <w:rsid w:val="00844401"/>
    <w:rsid w:val="00864E2F"/>
    <w:rsid w:val="008654F3"/>
    <w:rsid w:val="00871A51"/>
    <w:rsid w:val="00877E26"/>
    <w:rsid w:val="008A65F8"/>
    <w:rsid w:val="008B4A7F"/>
    <w:rsid w:val="008D02D7"/>
    <w:rsid w:val="008D0B00"/>
    <w:rsid w:val="008E0DC1"/>
    <w:rsid w:val="008E10C2"/>
    <w:rsid w:val="008F78AB"/>
    <w:rsid w:val="0093047C"/>
    <w:rsid w:val="00946286"/>
    <w:rsid w:val="009627A4"/>
    <w:rsid w:val="00966BD9"/>
    <w:rsid w:val="00970DDF"/>
    <w:rsid w:val="00973012"/>
    <w:rsid w:val="0097434F"/>
    <w:rsid w:val="00975FF8"/>
    <w:rsid w:val="00993F8C"/>
    <w:rsid w:val="009A210D"/>
    <w:rsid w:val="009A2E18"/>
    <w:rsid w:val="009A5387"/>
    <w:rsid w:val="009A73F4"/>
    <w:rsid w:val="009B10E0"/>
    <w:rsid w:val="009C2B93"/>
    <w:rsid w:val="009C2DDF"/>
    <w:rsid w:val="009C453C"/>
    <w:rsid w:val="009E7D99"/>
    <w:rsid w:val="00A10FF8"/>
    <w:rsid w:val="00A11324"/>
    <w:rsid w:val="00A12287"/>
    <w:rsid w:val="00A21C47"/>
    <w:rsid w:val="00A254D4"/>
    <w:rsid w:val="00A57146"/>
    <w:rsid w:val="00A600BD"/>
    <w:rsid w:val="00A6540E"/>
    <w:rsid w:val="00A6547D"/>
    <w:rsid w:val="00A670AF"/>
    <w:rsid w:val="00A731D5"/>
    <w:rsid w:val="00A8003D"/>
    <w:rsid w:val="00A90A66"/>
    <w:rsid w:val="00A90AA7"/>
    <w:rsid w:val="00A92451"/>
    <w:rsid w:val="00AB5136"/>
    <w:rsid w:val="00AB604F"/>
    <w:rsid w:val="00AC471F"/>
    <w:rsid w:val="00AE19D1"/>
    <w:rsid w:val="00AE4955"/>
    <w:rsid w:val="00AE53B5"/>
    <w:rsid w:val="00B02E41"/>
    <w:rsid w:val="00B05F57"/>
    <w:rsid w:val="00B14320"/>
    <w:rsid w:val="00B2093C"/>
    <w:rsid w:val="00B3702A"/>
    <w:rsid w:val="00B52B2B"/>
    <w:rsid w:val="00B55444"/>
    <w:rsid w:val="00B561FA"/>
    <w:rsid w:val="00B65F49"/>
    <w:rsid w:val="00B77E9A"/>
    <w:rsid w:val="00B86DFC"/>
    <w:rsid w:val="00B97467"/>
    <w:rsid w:val="00BB3340"/>
    <w:rsid w:val="00BB5341"/>
    <w:rsid w:val="00BC5529"/>
    <w:rsid w:val="00BC7635"/>
    <w:rsid w:val="00BE0AED"/>
    <w:rsid w:val="00BE1577"/>
    <w:rsid w:val="00BE4ED1"/>
    <w:rsid w:val="00BF517F"/>
    <w:rsid w:val="00C042D0"/>
    <w:rsid w:val="00C659C1"/>
    <w:rsid w:val="00C66E54"/>
    <w:rsid w:val="00C759FB"/>
    <w:rsid w:val="00C76AAA"/>
    <w:rsid w:val="00C76DB0"/>
    <w:rsid w:val="00C81C48"/>
    <w:rsid w:val="00C82743"/>
    <w:rsid w:val="00CA33D3"/>
    <w:rsid w:val="00CB4010"/>
    <w:rsid w:val="00CB66FA"/>
    <w:rsid w:val="00CE4B9E"/>
    <w:rsid w:val="00CE5C82"/>
    <w:rsid w:val="00D144EA"/>
    <w:rsid w:val="00D16848"/>
    <w:rsid w:val="00D26802"/>
    <w:rsid w:val="00D30CCF"/>
    <w:rsid w:val="00D3742B"/>
    <w:rsid w:val="00D564FF"/>
    <w:rsid w:val="00D617EC"/>
    <w:rsid w:val="00D627D9"/>
    <w:rsid w:val="00D6590A"/>
    <w:rsid w:val="00D75CED"/>
    <w:rsid w:val="00DB00AF"/>
    <w:rsid w:val="00DD05E3"/>
    <w:rsid w:val="00DD4C61"/>
    <w:rsid w:val="00DD6738"/>
    <w:rsid w:val="00DD7AFD"/>
    <w:rsid w:val="00E10CDA"/>
    <w:rsid w:val="00E1482E"/>
    <w:rsid w:val="00E20FAC"/>
    <w:rsid w:val="00E24E9A"/>
    <w:rsid w:val="00E37FB4"/>
    <w:rsid w:val="00E50E7C"/>
    <w:rsid w:val="00E56969"/>
    <w:rsid w:val="00E6478A"/>
    <w:rsid w:val="00EA699C"/>
    <w:rsid w:val="00EC432A"/>
    <w:rsid w:val="00EE5AB4"/>
    <w:rsid w:val="00EF5A23"/>
    <w:rsid w:val="00F04A51"/>
    <w:rsid w:val="00F06202"/>
    <w:rsid w:val="00F1040C"/>
    <w:rsid w:val="00F10BC4"/>
    <w:rsid w:val="00F264C6"/>
    <w:rsid w:val="00F35919"/>
    <w:rsid w:val="00F4061D"/>
    <w:rsid w:val="00F45A7C"/>
    <w:rsid w:val="00F6121B"/>
    <w:rsid w:val="00F62584"/>
    <w:rsid w:val="00F657E0"/>
    <w:rsid w:val="00F74799"/>
    <w:rsid w:val="00F76DCC"/>
    <w:rsid w:val="00F836FF"/>
    <w:rsid w:val="00F92FCF"/>
    <w:rsid w:val="00F9785D"/>
    <w:rsid w:val="00FB0D00"/>
    <w:rsid w:val="00FB14C0"/>
    <w:rsid w:val="00FB27D3"/>
    <w:rsid w:val="00FB3664"/>
    <w:rsid w:val="00FC32B2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  <w:style w:type="paragraph" w:customStyle="1" w:styleId="m6900949663817909533xmsonormal">
    <w:name w:val="m_6900949663817909533xmsonormal"/>
    <w:basedOn w:val="Normal"/>
    <w:rsid w:val="0097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73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12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973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12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0" TargetMode="External"/><Relationship Id="rId13" Type="http://schemas.openxmlformats.org/officeDocument/2006/relationships/hyperlink" Target="https://hko.srce.hr/registar/skup-ishoda-ucenja/detalji/23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hyperlink" Target="https://hko.srce.hr/registar/skup-ishoda-ucenja/detalji/236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36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hko.srce.hr/registar/standard-kvalifikacije/detalji/5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2112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3352</Words>
  <Characters>19110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Student Dva</cp:lastModifiedBy>
  <cp:revision>2</cp:revision>
  <dcterms:created xsi:type="dcterms:W3CDTF">2025-05-14T08:40:00Z</dcterms:created>
  <dcterms:modified xsi:type="dcterms:W3CDTF">2025-05-14T08:40:00Z</dcterms:modified>
</cp:coreProperties>
</file>