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0E66" w14:textId="77777777" w:rsidR="00217C2A" w:rsidRPr="00AE4955" w:rsidRDefault="00217C2A" w:rsidP="00217C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06D8500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4676E56" w14:textId="77777777" w:rsidR="009E2A80" w:rsidRPr="00C034C4" w:rsidRDefault="009E2A80" w:rsidP="009E2A80">
      <w:pPr>
        <w:spacing w:after="0"/>
        <w:jc w:val="center"/>
        <w:rPr>
          <w:b/>
          <w:bCs/>
          <w:color w:val="FF0000"/>
          <w:sz w:val="48"/>
          <w:szCs w:val="48"/>
          <w:lang w:val="hr-HR"/>
        </w:rPr>
      </w:pPr>
      <w:r w:rsidRPr="00C034C4">
        <w:rPr>
          <w:b/>
          <w:bCs/>
          <w:sz w:val="48"/>
          <w:szCs w:val="48"/>
          <w:lang w:val="hr-HR"/>
        </w:rPr>
        <w:t>Program obrazovanja</w:t>
      </w:r>
      <w:r w:rsidRPr="00C034C4">
        <w:rPr>
          <w:b/>
          <w:bCs/>
          <w:color w:val="FF0000"/>
          <w:sz w:val="48"/>
          <w:szCs w:val="48"/>
          <w:lang w:val="hr-HR"/>
        </w:rPr>
        <w:t xml:space="preserve"> </w:t>
      </w:r>
    </w:p>
    <w:p w14:paraId="23B80F49" w14:textId="77777777" w:rsidR="009826BD" w:rsidRDefault="009E2A80" w:rsidP="009E2A80">
      <w:pPr>
        <w:spacing w:after="0"/>
        <w:jc w:val="center"/>
        <w:rPr>
          <w:b/>
          <w:bCs/>
          <w:sz w:val="48"/>
          <w:szCs w:val="48"/>
          <w:lang w:val="hr-HR"/>
        </w:rPr>
      </w:pPr>
      <w:r w:rsidRPr="00C034C4">
        <w:rPr>
          <w:b/>
          <w:bCs/>
          <w:sz w:val="48"/>
          <w:szCs w:val="48"/>
          <w:lang w:val="hr-HR"/>
        </w:rPr>
        <w:t xml:space="preserve">za stjecanje mikrokvalifikacije </w:t>
      </w:r>
    </w:p>
    <w:p w14:paraId="51D0A16F" w14:textId="5E274612" w:rsidR="00FB0D00" w:rsidRPr="00C034C4" w:rsidRDefault="009E2A80" w:rsidP="009E2A8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034C4">
        <w:rPr>
          <w:b/>
          <w:bCs/>
          <w:sz w:val="48"/>
          <w:szCs w:val="48"/>
          <w:lang w:val="hr-HR"/>
        </w:rPr>
        <w:t>m</w:t>
      </w:r>
      <w:r w:rsidRPr="00C034C4">
        <w:rPr>
          <w:rFonts w:asciiTheme="minorHAnsi" w:hAnsiTheme="minorHAnsi" w:cstheme="minorHAnsi"/>
          <w:b/>
          <w:bCs/>
          <w:sz w:val="48"/>
          <w:szCs w:val="48"/>
          <w:lang w:val="hr-HR"/>
        </w:rPr>
        <w:t>ontiranje i spajanje kotlova za biomasu</w:t>
      </w:r>
    </w:p>
    <w:p w14:paraId="4BCE0634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34AA10" w14:textId="77777777" w:rsidR="00FB0D00" w:rsidRPr="00C034C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D6339E4" w14:textId="77777777" w:rsidR="00FB0D00" w:rsidRPr="00C034C4" w:rsidRDefault="00FB0D00" w:rsidP="009E2A80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59363E0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FDF8468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4305912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2538AFA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C30BED8" w14:textId="77777777" w:rsidR="006559CA" w:rsidRDefault="006559CA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A863DAF" w14:textId="0A077C1B" w:rsidR="002B47A3" w:rsidRPr="00AE4955" w:rsidRDefault="002B47A3" w:rsidP="002B47A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BE1FE26" w14:textId="7632EBA0" w:rsidR="009E2A80" w:rsidRPr="00C034C4" w:rsidRDefault="009E2A80" w:rsidP="00B120CB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034C4">
        <w:rPr>
          <w:rFonts w:asciiTheme="minorHAnsi" w:hAnsiTheme="minorHAnsi" w:cstheme="minorHAnsi"/>
          <w:b/>
          <w:bCs/>
          <w:sz w:val="24"/>
          <w:szCs w:val="24"/>
          <w:lang w:val="hr-HR"/>
        </w:rPr>
        <w:br w:type="page"/>
      </w:r>
    </w:p>
    <w:p w14:paraId="19D26B95" w14:textId="77777777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C034C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14"/>
        <w:gridCol w:w="1315"/>
        <w:gridCol w:w="2174"/>
        <w:gridCol w:w="2572"/>
      </w:tblGrid>
      <w:tr w:rsidR="00C759FB" w:rsidRPr="00C034C4" w14:paraId="69B33573" w14:textId="77777777" w:rsidTr="00E466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32FFD806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C034C4" w14:paraId="39C58608" w14:textId="77777777" w:rsidTr="0023030B">
        <w:trPr>
          <w:trHeight w:val="304"/>
        </w:trPr>
        <w:tc>
          <w:tcPr>
            <w:tcW w:w="1802" w:type="pct"/>
            <w:shd w:val="clear" w:color="auto" w:fill="B8CCE4"/>
            <w:hideMark/>
          </w:tcPr>
          <w:p w14:paraId="446D0CE8" w14:textId="4ED4CE5A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198" w:type="pct"/>
            <w:gridSpan w:val="3"/>
          </w:tcPr>
          <w:p w14:paraId="2694E943" w14:textId="545FA60D" w:rsidR="00C759FB" w:rsidRPr="00C034C4" w:rsidRDefault="009E2A80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C034C4" w14:paraId="7899B0FB" w14:textId="77777777" w:rsidTr="0023030B">
        <w:trPr>
          <w:trHeight w:val="314"/>
        </w:trPr>
        <w:tc>
          <w:tcPr>
            <w:tcW w:w="1802" w:type="pct"/>
            <w:shd w:val="clear" w:color="auto" w:fill="B8CCE4"/>
            <w:hideMark/>
          </w:tcPr>
          <w:p w14:paraId="69B3C0D0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98" w:type="pct"/>
            <w:gridSpan w:val="3"/>
            <w:vAlign w:val="center"/>
          </w:tcPr>
          <w:p w14:paraId="2FF8D896" w14:textId="2FE68DCF" w:rsidR="00C759FB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bookmarkStart w:id="1" w:name="_GoBack"/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 montiranje i spajanje kotlova za biomasu</w:t>
            </w:r>
            <w:bookmarkEnd w:id="1"/>
          </w:p>
        </w:tc>
      </w:tr>
      <w:tr w:rsidR="00C759FB" w:rsidRPr="00C034C4" w14:paraId="0B142720" w14:textId="77777777" w:rsidTr="0023030B">
        <w:trPr>
          <w:trHeight w:val="304"/>
        </w:trPr>
        <w:tc>
          <w:tcPr>
            <w:tcW w:w="1802" w:type="pct"/>
            <w:shd w:val="clear" w:color="auto" w:fill="B8CCE4"/>
            <w:hideMark/>
          </w:tcPr>
          <w:p w14:paraId="3B2779C1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98" w:type="pct"/>
            <w:gridSpan w:val="3"/>
            <w:vAlign w:val="center"/>
          </w:tcPr>
          <w:p w14:paraId="7476C298" w14:textId="1A0D6B95" w:rsidR="00C759FB" w:rsidRPr="00C034C4" w:rsidRDefault="003F7F2C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C034C4" w14:paraId="3F28E15A" w14:textId="77777777" w:rsidTr="00A81875">
        <w:trPr>
          <w:trHeight w:val="329"/>
        </w:trPr>
        <w:tc>
          <w:tcPr>
            <w:tcW w:w="1802" w:type="pct"/>
            <w:vMerge w:val="restart"/>
            <w:shd w:val="clear" w:color="auto" w:fill="B8CCE4"/>
            <w:hideMark/>
          </w:tcPr>
          <w:p w14:paraId="1F2DAB4D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3611770D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03" w:type="pct"/>
            <w:gridSpan w:val="2"/>
            <w:vAlign w:val="center"/>
          </w:tcPr>
          <w:p w14:paraId="5710EB8A" w14:textId="7B70ADC3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6827F64F" w14:textId="77777777" w:rsidTr="00A81875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C034C4" w:rsidRDefault="00C759FB" w:rsidP="00E466A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019DB595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03" w:type="pct"/>
            <w:gridSpan w:val="2"/>
            <w:vAlign w:val="center"/>
          </w:tcPr>
          <w:p w14:paraId="1A4BC742" w14:textId="2CC70083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206337B8" w14:textId="77777777" w:rsidTr="0023030B">
        <w:trPr>
          <w:trHeight w:val="827"/>
        </w:trPr>
        <w:tc>
          <w:tcPr>
            <w:tcW w:w="1802" w:type="pct"/>
            <w:shd w:val="clear" w:color="auto" w:fill="B8CCE4"/>
            <w:hideMark/>
          </w:tcPr>
          <w:p w14:paraId="6021170A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2" w:name="_Hlk188022719"/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198" w:type="pct"/>
            <w:gridSpan w:val="3"/>
            <w:vAlign w:val="center"/>
            <w:hideMark/>
          </w:tcPr>
          <w:p w14:paraId="707DD729" w14:textId="3041035B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1: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Kotlovi za biomasu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Razina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4</w:t>
            </w:r>
          </w:p>
          <w:p w14:paraId="26B43BC1" w14:textId="2DDEF695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Montiranje i spajanje kotlova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4</w:t>
            </w:r>
          </w:p>
          <w:p w14:paraId="605373C2" w14:textId="4402E116" w:rsidR="00666CAE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3: </w:t>
            </w:r>
            <w:r w:rsidR="009E2A8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Kvaliteta procesa i rada kotlova na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4</w:t>
            </w:r>
          </w:p>
          <w:p w14:paraId="6B651854" w14:textId="66E895F5" w:rsidR="00666CAE" w:rsidRPr="00C034C4" w:rsidRDefault="00666CA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4: Zaštita na radu, zaštita od požari zaštita okoliša</w:t>
            </w:r>
            <w:r w:rsidR="0014064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</w:t>
            </w:r>
            <w:r w:rsidR="0014064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C759FB" w:rsidRPr="00C034C4" w14:paraId="1AC156F2" w14:textId="77777777" w:rsidTr="0023030B">
        <w:trPr>
          <w:trHeight w:val="539"/>
        </w:trPr>
        <w:tc>
          <w:tcPr>
            <w:tcW w:w="1802" w:type="pct"/>
            <w:shd w:val="clear" w:color="auto" w:fill="B8CCE4"/>
            <w:hideMark/>
          </w:tcPr>
          <w:p w14:paraId="195D4239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98" w:type="pct"/>
            <w:gridSpan w:val="3"/>
            <w:vAlign w:val="center"/>
          </w:tcPr>
          <w:p w14:paraId="753B2B5E" w14:textId="77777777" w:rsidR="005645CB" w:rsidRDefault="005645CB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826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9 CSVET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71B21EE" w14:textId="0B6D2543" w:rsidR="00BC51FA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 Kotlovi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2 CSVET</w:t>
            </w:r>
          </w:p>
          <w:p w14:paraId="347049EB" w14:textId="5448C92C" w:rsidR="009E2A80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2: Montiranje i spajanje kotlova za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5 CSVET</w:t>
            </w:r>
          </w:p>
          <w:p w14:paraId="4B52EF1A" w14:textId="77777777" w:rsidR="00C759FB" w:rsidRPr="00C034C4" w:rsidRDefault="009E2A80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3: Kvaliteta procesa i rada kotlova na biomasu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1 CSVET</w:t>
            </w:r>
          </w:p>
          <w:p w14:paraId="29C236E9" w14:textId="20D0F91D" w:rsidR="002A0883" w:rsidRPr="005645CB" w:rsidRDefault="00666CAE" w:rsidP="009E2A8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4: Zaštita na radu, zaštita od požari zaštita okoliša</w:t>
            </w:r>
            <w:r w:rsidR="00A12DD9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1: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1 CSVET</w:t>
            </w:r>
          </w:p>
        </w:tc>
      </w:tr>
      <w:bookmarkEnd w:id="2"/>
      <w:tr w:rsidR="00C759FB" w:rsidRPr="00C034C4" w14:paraId="2D88B913" w14:textId="77777777" w:rsidTr="00E466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)</w:t>
            </w:r>
            <w:r w:rsidR="00012313" w:rsidRPr="00C034C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C034C4" w14:paraId="1A0CC92F" w14:textId="77777777" w:rsidTr="0023030B">
        <w:trPr>
          <w:trHeight w:val="951"/>
        </w:trPr>
        <w:tc>
          <w:tcPr>
            <w:tcW w:w="1802" w:type="pct"/>
            <w:shd w:val="clear" w:color="auto" w:fill="B8CCE4"/>
            <w:hideMark/>
          </w:tcPr>
          <w:p w14:paraId="7130C8CB" w14:textId="551656A9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841" w:type="pct"/>
            <w:gridSpan w:val="2"/>
            <w:shd w:val="clear" w:color="auto" w:fill="B8CCE4"/>
            <w:hideMark/>
          </w:tcPr>
          <w:p w14:paraId="057AF24A" w14:textId="4511A853" w:rsidR="00C759FB" w:rsidRPr="00C034C4" w:rsidRDefault="00C759FB" w:rsidP="006559C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Popis standarda kvalifikacija</w:t>
            </w:r>
            <w:r w:rsidR="006559CA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357" w:type="pct"/>
            <w:shd w:val="clear" w:color="auto" w:fill="B8CCE4"/>
            <w:hideMark/>
          </w:tcPr>
          <w:p w14:paraId="58ADAE83" w14:textId="77777777" w:rsidR="00C759FB" w:rsidRPr="00C034C4" w:rsidRDefault="00C759FB" w:rsidP="00E466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C034C4" w14:paraId="575AACF6" w14:textId="77777777" w:rsidTr="0023030B">
        <w:trPr>
          <w:trHeight w:val="490"/>
        </w:trPr>
        <w:tc>
          <w:tcPr>
            <w:tcW w:w="1802" w:type="pct"/>
            <w:vAlign w:val="center"/>
          </w:tcPr>
          <w:p w14:paraId="7633835F" w14:textId="7698F9E7" w:rsidR="00BC51FA" w:rsidRPr="00C034C4" w:rsidRDefault="00BC51FA" w:rsidP="00BC51F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SZ: </w:t>
            </w:r>
            <w:r w:rsidR="00284270" w:rsidRPr="00284270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Serviser-monter za obnovljive izvore energije / Serviserka-monterka za obnovljive izvore energije</w:t>
            </w:r>
          </w:p>
          <w:p w14:paraId="4FB2F8CA" w14:textId="3A4A5D4E" w:rsidR="00BC51FA" w:rsidRPr="005F633A" w:rsidRDefault="001C1D8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0" w:history="1">
              <w:r w:rsidR="002A0883" w:rsidRPr="005F633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</w:p>
          <w:p w14:paraId="7D7DB151" w14:textId="77777777" w:rsidR="002A0883" w:rsidRPr="00C034C4" w:rsidRDefault="002A0883" w:rsidP="00BC51F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  <w:p w14:paraId="3DE6AB39" w14:textId="636C46A4" w:rsidR="00950627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Planiranje, pripremanje, organiziranje i analiziranje vlastitog rada zbog pripreme radnog mjesta</w:t>
            </w:r>
          </w:p>
          <w:p w14:paraId="73E62D9C" w14:textId="23AECEEF" w:rsidR="00AF100A" w:rsidRPr="00C034C4" w:rsidRDefault="001C1D8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1" w:history="1">
              <w:r w:rsidR="00AF100A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https://hko.srce.hr/registar/skup-kompetencija/detalji/1219</w:t>
              </w:r>
            </w:hyperlink>
          </w:p>
          <w:p w14:paraId="668472D4" w14:textId="77777777" w:rsidR="00AF100A" w:rsidRPr="00C034C4" w:rsidRDefault="00AF100A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6F817D7" w14:textId="40ED5A06" w:rsidR="00BC51FA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2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Montaža opreme solarnog toplovodnog sustava, dizalica topline i kotlova na biomasu</w:t>
            </w:r>
          </w:p>
          <w:p w14:paraId="29582516" w14:textId="0178A6E7" w:rsidR="00AF100A" w:rsidRPr="00C034C4" w:rsidRDefault="001C1D8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2" w:history="1">
              <w:r w:rsidR="00A9047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https://hko.srce.hr/registar/skup-kompetencija/detalji/1220</w:t>
              </w:r>
            </w:hyperlink>
          </w:p>
          <w:p w14:paraId="1ED0E1EF" w14:textId="77777777" w:rsidR="00A9047D" w:rsidRPr="00C034C4" w:rsidRDefault="00A9047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A815C0B" w14:textId="55E9B505" w:rsidR="00BC51FA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3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Vođenje potrebne radne dokumentacije</w:t>
            </w:r>
          </w:p>
          <w:p w14:paraId="1BAB0297" w14:textId="143828D9" w:rsidR="0002224D" w:rsidRPr="00C034C4" w:rsidRDefault="001C1D8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3" w:history="1">
              <w:r w:rsidR="0002224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https://hko.srce.hr/registar/skup-kompetencija/detalji/1222</w:t>
              </w:r>
            </w:hyperlink>
          </w:p>
          <w:p w14:paraId="2243053A" w14:textId="77777777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EB6A9A0" w14:textId="017907D7" w:rsidR="0002224D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4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BC51F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Osiguranje kvalitete</w:t>
            </w:r>
          </w:p>
          <w:p w14:paraId="40C8EE3C" w14:textId="654DE506" w:rsidR="0002224D" w:rsidRPr="00C034C4" w:rsidRDefault="001C1D8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4" w:history="1">
              <w:r w:rsidR="0002224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https://hko.srce.hr/registar/skup-kompetencija/detalji/1223</w:t>
              </w:r>
            </w:hyperlink>
          </w:p>
          <w:p w14:paraId="21EC775B" w14:textId="77777777" w:rsidR="0002224D" w:rsidRPr="00C034C4" w:rsidRDefault="0002224D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5C2C401" w14:textId="60C757F3" w:rsidR="007E586E" w:rsidRPr="00C034C4" w:rsidRDefault="000F5DD4" w:rsidP="00BC51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SKOMP</w:t>
            </w:r>
            <w:r w:rsidR="006559CA"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5</w:t>
            </w:r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E586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Zaštita zdravlja i okoliša</w:t>
            </w:r>
          </w:p>
          <w:p w14:paraId="3D0D3195" w14:textId="0256BA91" w:rsidR="002A0883" w:rsidRPr="006559CA" w:rsidRDefault="001C1D84" w:rsidP="006559C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5" w:history="1">
              <w:r w:rsidR="002D4BDD" w:rsidRPr="00C034C4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https://hko.srce.hr/registar/skup-kompetencija/detalji/1224</w:t>
              </w:r>
            </w:hyperlink>
          </w:p>
        </w:tc>
        <w:tc>
          <w:tcPr>
            <w:tcW w:w="1841" w:type="pct"/>
            <w:gridSpan w:val="2"/>
          </w:tcPr>
          <w:p w14:paraId="1E90D3D0" w14:textId="2C56E087" w:rsidR="0048655F" w:rsidRPr="0048655F" w:rsidRDefault="002A0883" w:rsidP="00E466A5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SK: </w:t>
            </w:r>
            <w:r w:rsidR="0048655F" w:rsidRPr="0048655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Serviser-monter za obnovljive izvore energije / Serviserka-monterka za obnovljive izvore energije (standard strukovnog dijela kvalifikacije)</w:t>
            </w:r>
          </w:p>
          <w:p w14:paraId="17321C99" w14:textId="43EF6652" w:rsidR="0048655F" w:rsidRPr="0048655F" w:rsidRDefault="001C1D84" w:rsidP="00E466A5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hyperlink r:id="rId16" w:history="1">
              <w:r w:rsidR="0048655F" w:rsidRPr="00AF1AD3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hr-HR"/>
                </w:rPr>
                <w:t>https://hko.srce.hr/registar/standard-kvalifikacije/detalji/563</w:t>
              </w:r>
            </w:hyperlink>
            <w:r w:rsidR="0048655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182D42E5" w14:textId="77777777" w:rsidR="009F5A5B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bookmarkStart w:id="3" w:name="_Hlk188023046"/>
            <w:r w:rsidRPr="006559C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 1: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Kotlovi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biomasu</w:t>
            </w:r>
          </w:p>
          <w:p w14:paraId="1B6C03EA" w14:textId="77777777" w:rsidR="009F5A5B" w:rsidRDefault="001C1D84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7" w:history="1">
              <w:r w:rsidR="009F5A5B" w:rsidRPr="00AF1AD3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https://hko.srce.hr/registar/skup-ishoda-ucenja/detalji/15362</w:t>
              </w:r>
            </w:hyperlink>
            <w:r w:rsidR="009F5A5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19DEEEBE" w14:textId="77777777" w:rsidR="009F5A5B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879B47C" w14:textId="77777777" w:rsidR="009F5A5B" w:rsidRPr="0095750E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559CA">
              <w:rPr>
                <w:rFonts w:cstheme="minorHAnsi"/>
                <w:b/>
                <w:bCs/>
                <w:sz w:val="20"/>
                <w:szCs w:val="20"/>
              </w:rPr>
              <w:t>SIU 2: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750E">
              <w:rPr>
                <w:rFonts w:cstheme="minorHAnsi"/>
                <w:sz w:val="20"/>
                <w:szCs w:val="20"/>
              </w:rPr>
              <w:t>Montiranje i spajanje kotlova za biomasu</w:t>
            </w:r>
          </w:p>
          <w:p w14:paraId="100DBB23" w14:textId="77777777" w:rsidR="009F5A5B" w:rsidRDefault="001C1D84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8" w:history="1">
              <w:r w:rsidR="009F5A5B" w:rsidRPr="00D32D88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https://hko.srce.hr/registar/skup-ishoda-ucenja/detalji/2008</w:t>
              </w:r>
            </w:hyperlink>
          </w:p>
          <w:p w14:paraId="79D0E921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E8C98C3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559CA">
              <w:rPr>
                <w:b/>
                <w:bCs/>
              </w:rPr>
              <w:t>SIU 3:</w:t>
            </w:r>
            <w:r>
              <w:t xml:space="preserve"> </w:t>
            </w:r>
            <w:r w:rsidRPr="00A647F9">
              <w:rPr>
                <w:rFonts w:cstheme="minorHAnsi"/>
                <w:sz w:val="20"/>
                <w:szCs w:val="20"/>
              </w:rPr>
              <w:t>Kvaliteta procesa i rada kotlova na biomasu</w:t>
            </w:r>
          </w:p>
          <w:p w14:paraId="52CD61C2" w14:textId="77777777" w:rsidR="009F5A5B" w:rsidRDefault="001C1D84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9" w:history="1">
              <w:r w:rsidR="009F5A5B" w:rsidRPr="00D32D88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https://hko.srce.hr/registar/skup-ishoda-ucenja/detalji/2010</w:t>
              </w:r>
            </w:hyperlink>
          </w:p>
          <w:p w14:paraId="2C2C1F0D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3B00BD1" w14:textId="77777777" w:rsid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559C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SIU 4: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32AD">
              <w:rPr>
                <w:rFonts w:cstheme="minorHAnsi"/>
                <w:sz w:val="20"/>
                <w:szCs w:val="20"/>
              </w:rPr>
              <w:t>Zaštita na radu, zaštita od požar</w:t>
            </w:r>
            <w:r>
              <w:rPr>
                <w:rFonts w:cstheme="minorHAnsi"/>
                <w:sz w:val="20"/>
                <w:szCs w:val="20"/>
              </w:rPr>
              <w:t xml:space="preserve">a i </w:t>
            </w:r>
            <w:r w:rsidRPr="00D932AD">
              <w:rPr>
                <w:rFonts w:cstheme="minorHAnsi"/>
                <w:sz w:val="20"/>
                <w:szCs w:val="20"/>
              </w:rPr>
              <w:t>zaštita okoliša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03C21F74" w14:textId="77777777" w:rsidR="009F5A5B" w:rsidRDefault="001C1D84" w:rsidP="009F5A5B">
            <w:hyperlink r:id="rId20" w:history="1">
              <w:r w:rsidR="009F5A5B" w:rsidRPr="001C715D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https://hko.srce.hr/registar/skup-ishoda-ucenja/detalji/8918</w:t>
              </w:r>
            </w:hyperlink>
          </w:p>
          <w:bookmarkEnd w:id="3"/>
          <w:p w14:paraId="7C741483" w14:textId="77777777" w:rsidR="002A0883" w:rsidRDefault="002A0883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6057B21" w14:textId="77777777" w:rsidR="0095750E" w:rsidRPr="00C034C4" w:rsidRDefault="0095750E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E33F32D" w14:textId="0AB4C92C" w:rsidR="002A0883" w:rsidRPr="00C034C4" w:rsidRDefault="002A0883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357" w:type="pct"/>
            <w:vAlign w:val="center"/>
          </w:tcPr>
          <w:p w14:paraId="6A04DB37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42CE3E54" w14:textId="77777777" w:rsidTr="0023030B">
        <w:trPr>
          <w:trHeight w:val="291"/>
        </w:trPr>
        <w:tc>
          <w:tcPr>
            <w:tcW w:w="1802" w:type="pct"/>
            <w:shd w:val="clear" w:color="auto" w:fill="B8CCE4"/>
            <w:hideMark/>
          </w:tcPr>
          <w:p w14:paraId="4CAA4D5B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98" w:type="pct"/>
            <w:gridSpan w:val="3"/>
          </w:tcPr>
          <w:p w14:paraId="305EFBC9" w14:textId="21E47B7F" w:rsidR="0057696C" w:rsidRDefault="003821DD" w:rsidP="005D43C2">
            <w:pPr>
              <w:pStyle w:val="pf0"/>
              <w:rPr>
                <w:rStyle w:val="cf01"/>
              </w:rPr>
            </w:pPr>
            <w:r w:rsidRPr="009826BD">
              <w:rPr>
                <w:rFonts w:asciiTheme="minorHAnsi" w:hAnsiTheme="minorHAnsi" w:cstheme="minorHAnsi"/>
                <w:sz w:val="20"/>
                <w:szCs w:val="20"/>
              </w:rPr>
              <w:t xml:space="preserve">Posjedovanje prethodne kvalifikacije </w:t>
            </w:r>
            <w:r w:rsidR="00364217" w:rsidRPr="009826B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364217" w:rsidRPr="009826BD">
              <w:rPr>
                <w:rStyle w:val="cf01"/>
              </w:rPr>
              <w:t>inimalno na razini 4.1 u Sektoru strojarstvo, brodogradnja i metalurgija</w:t>
            </w:r>
            <w:r w:rsidR="005D43C2">
              <w:rPr>
                <w:rStyle w:val="cf01"/>
              </w:rPr>
              <w:t>.</w:t>
            </w:r>
          </w:p>
          <w:p w14:paraId="3C667CCB" w14:textId="54B29F0C" w:rsidR="006050E9" w:rsidRPr="00723AC9" w:rsidRDefault="006050E9" w:rsidP="004A6052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759FB" w:rsidRPr="00C034C4" w14:paraId="4AF77F6B" w14:textId="77777777" w:rsidTr="0023030B">
        <w:trPr>
          <w:trHeight w:val="732"/>
        </w:trPr>
        <w:tc>
          <w:tcPr>
            <w:tcW w:w="1802" w:type="pct"/>
            <w:shd w:val="clear" w:color="auto" w:fill="B8CCE4"/>
            <w:hideMark/>
          </w:tcPr>
          <w:p w14:paraId="7D39FA66" w14:textId="07BA6BF1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stjecanj</w:t>
            </w:r>
            <w:r w:rsidR="00012313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</w:t>
            </w: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98" w:type="pct"/>
            <w:gridSpan w:val="3"/>
          </w:tcPr>
          <w:p w14:paraId="700936D8" w14:textId="2E731700" w:rsidR="00484124" w:rsidRPr="00C034C4" w:rsidRDefault="00484124" w:rsidP="004841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2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C4CF7" w:rsidRPr="00C034C4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2C89EC57" w14:textId="0184FC39" w:rsidR="00484124" w:rsidRPr="00C034C4" w:rsidRDefault="00484124" w:rsidP="0048412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2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34480BBF" w14:textId="70B4D617" w:rsidR="00C759FB" w:rsidRPr="00C034C4" w:rsidRDefault="00484124" w:rsidP="004841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</w:tc>
      </w:tr>
      <w:tr w:rsidR="00012313" w:rsidRPr="00C034C4" w14:paraId="34A012B0" w14:textId="77777777" w:rsidTr="0023030B">
        <w:trPr>
          <w:trHeight w:val="732"/>
        </w:trPr>
        <w:tc>
          <w:tcPr>
            <w:tcW w:w="1802" w:type="pct"/>
            <w:shd w:val="clear" w:color="auto" w:fill="B8CCE4"/>
          </w:tcPr>
          <w:p w14:paraId="0FD8C313" w14:textId="4BC283AA" w:rsidR="00012313" w:rsidRPr="00C034C4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98" w:type="pct"/>
            <w:gridSpan w:val="3"/>
          </w:tcPr>
          <w:p w14:paraId="0CED38CA" w14:textId="1C7C7AAC" w:rsidR="0054017D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Program obrazovanja za stjecanje mikrokvalifikacije montiranje i spajanje kotlova za biomasu provodi se redovitom nastavom u trajanju od 2</w:t>
            </w:r>
            <w:r w:rsidR="004C4CF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25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uz mogućnost izvođenja teorijskog dijela programa na daljinu u</w:t>
            </w:r>
            <w:r w:rsidR="00A55AA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5949D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stvarnom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vremenu.</w:t>
            </w:r>
          </w:p>
          <w:p w14:paraId="03A861CC" w14:textId="2613893F" w:rsidR="0054017D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50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130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sati, a dijelom samostalnim aktivnostima polaznika u trajanju od </w:t>
            </w:r>
            <w:r w:rsidR="0038788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45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sati.</w:t>
            </w:r>
          </w:p>
          <w:p w14:paraId="09C062EF" w14:textId="6DBC7C5D" w:rsidR="00012313" w:rsidRPr="00C034C4" w:rsidRDefault="0054017D" w:rsidP="0054017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23030B" w:rsidRPr="00C034C4" w14:paraId="2F5BF833" w14:textId="77777777" w:rsidTr="004A6052">
        <w:trPr>
          <w:trHeight w:val="406"/>
        </w:trPr>
        <w:tc>
          <w:tcPr>
            <w:tcW w:w="1802" w:type="pct"/>
            <w:shd w:val="clear" w:color="auto" w:fill="B8CCE4"/>
          </w:tcPr>
          <w:p w14:paraId="13E00E54" w14:textId="77777777" w:rsidR="0023030B" w:rsidRPr="00C034C4" w:rsidRDefault="0023030B" w:rsidP="0023030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98" w:type="pct"/>
            <w:gridSpan w:val="3"/>
          </w:tcPr>
          <w:p w14:paraId="159279EB" w14:textId="07CCB922" w:rsidR="0023030B" w:rsidRPr="00C034C4" w:rsidRDefault="00AE1513" w:rsidP="0023030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Prema mikrokvalifikacijama vezanim</w:t>
            </w:r>
            <w:r w:rsidR="001D2C91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uz kotlove za biomasu</w:t>
            </w:r>
          </w:p>
        </w:tc>
      </w:tr>
      <w:tr w:rsidR="00A81875" w:rsidRPr="00C034C4" w14:paraId="6596F4E3" w14:textId="77777777" w:rsidTr="004A6052">
        <w:trPr>
          <w:trHeight w:val="411"/>
        </w:trPr>
        <w:tc>
          <w:tcPr>
            <w:tcW w:w="1802" w:type="pct"/>
            <w:shd w:val="clear" w:color="auto" w:fill="B8CCE4"/>
          </w:tcPr>
          <w:p w14:paraId="764D8F78" w14:textId="77777777" w:rsidR="00A81875" w:rsidRPr="00C034C4" w:rsidRDefault="00A81875" w:rsidP="00A818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98" w:type="pct"/>
            <w:gridSpan w:val="3"/>
          </w:tcPr>
          <w:p w14:paraId="1885F1B9" w14:textId="632D3E60" w:rsidR="00A81875" w:rsidRPr="00C034C4" w:rsidRDefault="00A81875" w:rsidP="00A8187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</w:p>
        </w:tc>
      </w:tr>
      <w:tr w:rsidR="00C759FB" w:rsidRPr="00C034C4" w14:paraId="2C76E0A8" w14:textId="77777777" w:rsidTr="0023030B">
        <w:trPr>
          <w:trHeight w:val="1093"/>
        </w:trPr>
        <w:tc>
          <w:tcPr>
            <w:tcW w:w="1802" w:type="pct"/>
            <w:shd w:val="clear" w:color="auto" w:fill="B8CCE4"/>
            <w:hideMark/>
          </w:tcPr>
          <w:p w14:paraId="1C3897D4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98" w:type="pct"/>
            <w:gridSpan w:val="3"/>
          </w:tcPr>
          <w:p w14:paraId="3526636D" w14:textId="6A5AE193" w:rsidR="0097531F" w:rsidRPr="00B87685" w:rsidRDefault="001C1D84" w:rsidP="00E466A5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1" w:history="1">
              <w:r w:rsidR="0097531F" w:rsidRPr="00B87685">
                <w:rPr>
                  <w:rStyle w:val="Hyperlink"/>
                  <w:sz w:val="20"/>
                  <w:szCs w:val="20"/>
                </w:rPr>
                <w:t>https://hko.srce.hr/registar/skup-ishoda-ucenja/detalji/15362</w:t>
              </w:r>
            </w:hyperlink>
            <w:r w:rsidR="0097531F" w:rsidRPr="00B87685">
              <w:rPr>
                <w:sz w:val="20"/>
                <w:szCs w:val="20"/>
              </w:rPr>
              <w:t xml:space="preserve"> </w:t>
            </w:r>
          </w:p>
          <w:p w14:paraId="301164A1" w14:textId="2D6E6E07" w:rsidR="0097531F" w:rsidRPr="00B87685" w:rsidRDefault="001C1D84" w:rsidP="00E466A5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="0097531F" w:rsidRPr="00B87685">
                <w:rPr>
                  <w:rStyle w:val="Hyperlink"/>
                  <w:sz w:val="20"/>
                  <w:szCs w:val="20"/>
                </w:rPr>
                <w:t>https://hko.srce.hr/registar/skup-ishoda-ucenja/detalji/2010</w:t>
              </w:r>
            </w:hyperlink>
            <w:r w:rsidR="0097531F" w:rsidRPr="00B87685">
              <w:rPr>
                <w:sz w:val="20"/>
                <w:szCs w:val="20"/>
              </w:rPr>
              <w:t xml:space="preserve"> </w:t>
            </w:r>
          </w:p>
          <w:p w14:paraId="1978B98A" w14:textId="77777777" w:rsidR="00AC1C76" w:rsidRPr="00B87685" w:rsidRDefault="001C1D84" w:rsidP="00AC1C7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3" w:history="1">
              <w:r w:rsidR="00AC1C76" w:rsidRPr="00B87685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https://hko.srce.hr/registar/skup-ishoda-ucenja/detalji/8918</w:t>
              </w:r>
            </w:hyperlink>
            <w:r w:rsidR="00AC1C76" w:rsidRPr="00B8768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2AB9D9" w14:textId="77777777" w:rsidR="000B5E56" w:rsidRDefault="001C1D84" w:rsidP="001B0020">
            <w:pPr>
              <w:spacing w:before="60" w:after="60" w:line="240" w:lineRule="auto"/>
              <w:jc w:val="both"/>
              <w:rPr>
                <w:rStyle w:val="Hyperlink"/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hyperlink r:id="rId24" w:history="1">
              <w:r w:rsidR="004B3858" w:rsidRPr="00B87685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https://hko.srce.hr/registar/skup-ishoda-ucenja/detalji/2008</w:t>
              </w:r>
            </w:hyperlink>
          </w:p>
          <w:p w14:paraId="6B9C4F7C" w14:textId="77777777" w:rsidR="006915CD" w:rsidRDefault="006915CD" w:rsidP="006915CD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 članku 22. stavku 1. Zakona o obrazovanju odraslih (Narodne novine br. 144/21), prema kojem je ustanova obvezna voditi brigu o pravima polaznika i pristupnika, postupati etično i na dobrobit polaznika i pristupnika, ustanova je dužna upoznati polaznika sa zdravstvenim zahtjevima potrebnim za stjecanje kvalifikacije. Polaznika se upoznaje sa zdravstvenim zahtjevima potrebnima u procesu stjecanja ishoda učenja, zdravstvenim zaprekama za zanimanje, opisom radnih zadaća, kao i uvjetima rada u zanimanju za koje polaznik upisuje program.</w:t>
            </w:r>
          </w:p>
          <w:p w14:paraId="66A229AD" w14:textId="77777777" w:rsidR="006915CD" w:rsidRDefault="006915CD" w:rsidP="006915CD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Nakon što je polaznik upoznat s navedenim, a u slučaju da zbog specifičnih zdravstvenih zahtjeva ili mogućih zdravstvenih ograničenja dođe do teškoća tijekom obrazovanja, zapošljavanja ili rada, uključujući </w:t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nemogućnost ili ograničenu mogućnost obrazovanja, zapošljavanja ili obavljanja radnih zadataka, odgovornost preuzima sam polaznik.</w:t>
            </w:r>
          </w:p>
          <w:p w14:paraId="7625C5C2" w14:textId="77777777" w:rsidR="006915CD" w:rsidRDefault="006915CD" w:rsidP="006915CD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 o zdravstvenim specifičnostima polaznika, ustanova je obvezna osigurati jednak pristup obrazovanju svim polaznicima, uz stalno poštivanje prava na zdravlje i sigurnost, osobito tijekom učenja temeljenog na radu. Ustanova i poslodavac kod kojega se odvija učenje temeljeno na radu odgovorni su za osiguravanje uvjeta rada koji ne ugrožavaju zdravlje polaznika.</w:t>
            </w:r>
          </w:p>
          <w:p w14:paraId="2220A39B" w14:textId="77777777" w:rsidR="006915CD" w:rsidRDefault="006915CD" w:rsidP="006915CD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 se da polaznik i odgovorna osoba ustanove potpišu izjavu kojom potvrđuju upoznatost s prethodno navedenim informacijama o ukupnim zahtjevima zanimanja iz programa koji polaznik upisuje. Sadržaj izjave određuje sama ustanova, pri čemu forma nije propisana.</w:t>
            </w:r>
          </w:p>
          <w:p w14:paraId="59313C29" w14:textId="77777777" w:rsidR="006915CD" w:rsidRDefault="006915CD" w:rsidP="006915CD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 za primjenu jedinstvenog popisa zdravstvenih zahtjeva potrebnih za upis u pojedinom zanimanju je dokument objavljen na mrežnim stranicama Ministarstva znanosti, obrazovanja i mladih </w:t>
            </w:r>
            <w:hyperlink r:id="rId25" w:tgtFrame="_blank" w:history="1">
              <w:r>
                <w:rPr>
                  <w:rStyle w:val="Hyperlink"/>
                  <w:rFonts w:ascii="Calibri" w:hAnsi="Calibri" w:cs="Calibri"/>
                  <w:i/>
                  <w:iCs/>
                  <w:color w:val="0563C1"/>
                  <w:sz w:val="20"/>
                  <w:szCs w:val="20"/>
                </w:rPr>
                <w:t>Jedinstveni popis zdravstvenih zahtjeva potrebnih za upis u strukovne kurikule u I. razred srednje škole</w:t>
              </w:r>
            </w:hyperlink>
            <w:r>
              <w:rPr>
                <w:rFonts w:ascii="Calibri" w:hAnsi="Calibri" w:cs="Calibri"/>
                <w:color w:val="222222"/>
                <w:sz w:val="20"/>
                <w:szCs w:val="20"/>
              </w:rPr>
              <w:t>, pri čemu posebno ukazujemo na popis zdravstvenih zapreka koje predstavljaju apsolutnu zapreku za pojedino zanimanje.</w:t>
            </w:r>
          </w:p>
          <w:p w14:paraId="50DDDC57" w14:textId="77777777" w:rsidR="006915CD" w:rsidRDefault="006915CD" w:rsidP="006915CD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 napominjemo, ako je za stjecanje kompetencija u okviru pojedinog programa osposobljavanja, usavršavanja ili specijalističkog usavršavanja, zbog specifičnosti radnih zadaća i radnog okruženja, potreban dokaz o procjeni zdravstvenih sposobnosti polaznika te je isto navedeno kao obvezujuće u Jedinstvenom popisu zdravstvenih zahtjeva potrebnih za upis u strukovne kurikule u I. razred srednje škole, polaznik je dužan dostaviti dokaz o zdravstvenoj sposobnosti.</w:t>
            </w:r>
          </w:p>
          <w:p w14:paraId="42254FE5" w14:textId="0BE31F0C" w:rsidR="006915CD" w:rsidRPr="00C034C4" w:rsidRDefault="006915CD" w:rsidP="001B002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C034C4" w14:paraId="64AD4354" w14:textId="77777777" w:rsidTr="0064298C">
        <w:trPr>
          <w:trHeight w:val="412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C034C4" w:rsidRDefault="00C759FB" w:rsidP="0064298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C759FB" w:rsidRPr="00C034C4" w14:paraId="2DB23D25" w14:textId="77777777" w:rsidTr="00E466A5">
        <w:trPr>
          <w:trHeight w:val="304"/>
        </w:trPr>
        <w:tc>
          <w:tcPr>
            <w:tcW w:w="5000" w:type="pct"/>
            <w:gridSpan w:val="4"/>
          </w:tcPr>
          <w:p w14:paraId="094020CA" w14:textId="54939629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Znati čitati projektnu i tehničku dokumentaciju</w:t>
            </w:r>
          </w:p>
          <w:p w14:paraId="5650B90F" w14:textId="77777777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Odrediti redoslijed spajanja elemenata i sustava</w:t>
            </w:r>
          </w:p>
          <w:p w14:paraId="71D84A64" w14:textId="77777777" w:rsidR="00514496" w:rsidRPr="00C034C4" w:rsidRDefault="00514496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Koristiti tehničke upute za montažu, upotrebu i održavanje</w:t>
            </w:r>
          </w:p>
          <w:p w14:paraId="7300ED5F" w14:textId="77777777" w:rsidR="00DB5F1D" w:rsidRPr="00C034C4" w:rsidRDefault="00DB5F1D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Spajati kotao na biomasu sa sustavom za pripremu tople vode i grijanja prema tehničkoj i tehnološkoj dokumentaciji</w:t>
            </w:r>
          </w:p>
          <w:p w14:paraId="47ED2B06" w14:textId="059F49F4" w:rsidR="00DB5F1D" w:rsidRPr="00C034C4" w:rsidRDefault="00DB5F1D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Poznavati elemente kotlova i peći na biomasu</w:t>
            </w:r>
          </w:p>
          <w:p w14:paraId="3F91F239" w14:textId="146FE77D" w:rsidR="00A53935" w:rsidRPr="00C034C4" w:rsidRDefault="00A53935" w:rsidP="006B1FA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034C4">
              <w:rPr>
                <w:rFonts w:eastAsia="Times New Roman" w:cstheme="minorHAnsi"/>
                <w:sz w:val="20"/>
                <w:szCs w:val="20"/>
                <w:lang w:eastAsia="hr-HR"/>
              </w:rPr>
              <w:t>Poznavati pravila ugradnje manjih kotlova i peći na biomasu do 100 kW</w:t>
            </w:r>
          </w:p>
          <w:p w14:paraId="2962A540" w14:textId="6FED51DF" w:rsidR="00F37EB6" w:rsidRPr="00F12447" w:rsidRDefault="00F37EB6" w:rsidP="006B1FA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12447">
              <w:rPr>
                <w:rFonts w:cstheme="minorHAnsi"/>
                <w:sz w:val="20"/>
                <w:szCs w:val="20"/>
              </w:rPr>
              <w:t>Znati provjeriti prohodnost dimnjaka</w:t>
            </w:r>
          </w:p>
          <w:p w14:paraId="7E6AD763" w14:textId="65095DB1" w:rsidR="00F97F97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1A5AB9">
              <w:rPr>
                <w:rFonts w:cstheme="minorHAnsi"/>
                <w:sz w:val="20"/>
                <w:szCs w:val="20"/>
              </w:rPr>
              <w:t>astavljati izvještaj o obavljenom radu</w:t>
            </w:r>
          </w:p>
          <w:p w14:paraId="335C42EB" w14:textId="09EC9DA4" w:rsid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Popunjavati radnu dokumentaciju i izraditi izvještaj o obavljenom radu</w:t>
            </w:r>
          </w:p>
          <w:p w14:paraId="55685C7E" w14:textId="6157319E" w:rsid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Pridržavati se normi osiguranja opće kvalitete</w:t>
            </w:r>
          </w:p>
          <w:p w14:paraId="6917550F" w14:textId="5B1E7EF3" w:rsidR="001A5AB9" w:rsidRPr="001A5AB9" w:rsidRDefault="001A5AB9" w:rsidP="001A5A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5AB9">
              <w:rPr>
                <w:rFonts w:cstheme="minorHAnsi"/>
                <w:sz w:val="20"/>
                <w:szCs w:val="20"/>
              </w:rPr>
              <w:t>Jamčiti kvalitetu pruženih usluga</w:t>
            </w:r>
          </w:p>
          <w:p w14:paraId="4D3ED0F7" w14:textId="37313000" w:rsidR="00ED3EB9" w:rsidRPr="00C034C4" w:rsidRDefault="0034744D" w:rsidP="00ED3E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O</w:t>
            </w:r>
            <w:r w:rsidR="00ED3EB9" w:rsidRPr="00C034C4">
              <w:rPr>
                <w:rFonts w:cstheme="minorHAnsi"/>
                <w:sz w:val="20"/>
                <w:szCs w:val="20"/>
              </w:rPr>
              <w:t xml:space="preserve">bavljati poslove uz korištenje zaštitnih uređaja i opreme sukladno propisima o sigurnosti i zaštiti na radu i zaštiti od požara </w:t>
            </w:r>
          </w:p>
          <w:p w14:paraId="65FCC8DA" w14:textId="74DE37E8" w:rsidR="0040677E" w:rsidRPr="00931DA9" w:rsidRDefault="00ED3EB9" w:rsidP="00931DA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Prikupljati, razvrstavati i pravilno odlagati otpadni materijal, ambalažu i radne tvari</w:t>
            </w:r>
            <w:r w:rsidR="00F509AC" w:rsidRPr="00F97F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759FB" w:rsidRPr="00C034C4" w14:paraId="3D59805F" w14:textId="77777777" w:rsidTr="0023030B">
        <w:trPr>
          <w:trHeight w:val="951"/>
        </w:trPr>
        <w:tc>
          <w:tcPr>
            <w:tcW w:w="1802" w:type="pct"/>
            <w:shd w:val="clear" w:color="auto" w:fill="B8CCE4"/>
            <w:hideMark/>
          </w:tcPr>
          <w:p w14:paraId="29E08823" w14:textId="0E072A93" w:rsidR="00C759FB" w:rsidRPr="00C034C4" w:rsidRDefault="002132BF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Preporučeni n</w:t>
            </w:r>
            <w:r w:rsidR="00C759F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198" w:type="pct"/>
            <w:gridSpan w:val="3"/>
          </w:tcPr>
          <w:p w14:paraId="2483770E" w14:textId="77777777" w:rsidR="008A3D9D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627B26BB" w14:textId="4615E639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2989BB30" w14:textId="1ED43AF0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3DEDF74" w14:textId="4159A671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provodi se analiza uspjeha, transparentnosti i objektivnosti provjera i ostvarenosti ishoda učenja</w:t>
            </w:r>
          </w:p>
          <w:p w14:paraId="382F35C4" w14:textId="19FEC54A" w:rsidR="008A3D9D" w:rsidRPr="00C034C4" w:rsidRDefault="008A3D9D" w:rsidP="008A3D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034C4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062E64C4" w14:textId="77777777" w:rsidR="008A3D9D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3CDC6E66" w:rsidR="00C759FB" w:rsidRPr="00C034C4" w:rsidRDefault="008A3D9D" w:rsidP="008A3D9D">
            <w:pPr>
              <w:spacing w:before="60" w:after="60" w:line="240" w:lineRule="auto"/>
              <w:ind w:left="-1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C759FB" w:rsidRPr="00C034C4" w14:paraId="56EB1F55" w14:textId="77777777" w:rsidTr="0023030B">
        <w:trPr>
          <w:trHeight w:val="513"/>
        </w:trPr>
        <w:tc>
          <w:tcPr>
            <w:tcW w:w="1802" w:type="pct"/>
            <w:shd w:val="clear" w:color="auto" w:fill="B8CCE4"/>
            <w:hideMark/>
          </w:tcPr>
          <w:p w14:paraId="2D9E9262" w14:textId="77777777" w:rsidR="00C759FB" w:rsidRPr="00C034C4" w:rsidRDefault="00C759FB" w:rsidP="00E466A5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198" w:type="pct"/>
            <w:gridSpan w:val="3"/>
          </w:tcPr>
          <w:p w14:paraId="37627339" w14:textId="0CDA3C8D" w:rsidR="00C759FB" w:rsidRPr="00BA7FA1" w:rsidRDefault="00C759FB" w:rsidP="00E466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bookmarkEnd w:id="0"/>
    </w:tbl>
    <w:p w14:paraId="14CD99DE" w14:textId="7E0D956A" w:rsidR="008A3D9D" w:rsidRDefault="008A3D9D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6A2A0BBA" w14:textId="6A10C119" w:rsidR="0064298C" w:rsidRDefault="0064298C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1FCCD6D1" w14:textId="20E6B0ED" w:rsidR="00F51D6A" w:rsidRDefault="00F51D6A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504C3A1C" w14:textId="77777777" w:rsidR="0064298C" w:rsidRDefault="0064298C" w:rsidP="008A3D9D">
      <w:pPr>
        <w:spacing w:after="160" w:line="259" w:lineRule="auto"/>
        <w:rPr>
          <w:rFonts w:cstheme="minorHAnsi"/>
          <w:b/>
          <w:bCs/>
          <w:noProof/>
          <w:sz w:val="24"/>
          <w:szCs w:val="24"/>
          <w:lang w:val="hr-HR"/>
        </w:rPr>
      </w:pPr>
    </w:p>
    <w:p w14:paraId="1D976449" w14:textId="584768FA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C034C4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C034C4" w14:paraId="417B9C8F" w14:textId="77777777" w:rsidTr="00E466A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bookmarkStart w:id="4" w:name="_Hlk92960607"/>
          </w:p>
          <w:p w14:paraId="15197BDE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C034C4" w14:paraId="2EF59616" w14:textId="77777777" w:rsidTr="00E466A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C034C4" w:rsidRDefault="00C759FB" w:rsidP="00E466A5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C034C4" w:rsidRDefault="00C759FB" w:rsidP="00E466A5">
            <w:pPr>
              <w:ind w:left="36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C034C4" w:rsidRDefault="00C759FB" w:rsidP="00E466A5">
            <w:pPr>
              <w:ind w:left="36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C034C4" w:rsidRDefault="00C759FB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B506D4" w:rsidRPr="00C034C4" w14:paraId="61061CEA" w14:textId="77777777" w:rsidTr="0064298C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64C0450D" w14:textId="77777777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6B16A236" w14:textId="36FDD7CB" w:rsidR="00B506D4" w:rsidRPr="00C034C4" w:rsidRDefault="00B506D4" w:rsidP="00B506D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8AA6EDF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AA8B2D9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Kotlovi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64A04991" w:rsidR="00B506D4" w:rsidRPr="00C034C4" w:rsidRDefault="00B506D4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0291ACA" w:rsidR="00B506D4" w:rsidRPr="00C034C4" w:rsidRDefault="00B506D4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C4DD991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189C3CC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814C76A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C1B54CE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B506D4" w:rsidRPr="00C034C4" w14:paraId="75FBFEE8" w14:textId="77777777" w:rsidTr="0064298C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4D06C46" w14:textId="544D6D96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D6997D" w14:textId="67D95CAE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B2501" w14:textId="46EEDC97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773F9" w14:textId="74332367" w:rsidR="00B506D4" w:rsidRPr="00C034C4" w:rsidRDefault="00B506D4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904C7" w14:textId="03F57E58" w:rsidR="00B506D4" w:rsidRPr="00C034C4" w:rsidRDefault="00B506D4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920BC" w14:textId="449DE325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988FE" w14:textId="765E89D6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930B2" w14:textId="5BD601AF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DDDEDE3" w14:textId="1C22893D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B506D4" w:rsidRPr="00C034C4" w14:paraId="455A0424" w14:textId="77777777" w:rsidTr="0064298C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100669" w14:textId="4C2C2893" w:rsidR="00B506D4" w:rsidRPr="00C034C4" w:rsidRDefault="00B506D4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B512" w14:textId="29292F64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7965F5" w14:textId="677BE0C5" w:rsidR="00B506D4" w:rsidRPr="00C034C4" w:rsidRDefault="00B506D4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Kvaliteta procesa i rada kotlova na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9297D" w14:textId="68E21D8D" w:rsidR="00B506D4" w:rsidRPr="00C034C4" w:rsidRDefault="00B506D4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9972C" w14:textId="7BFCA9F7" w:rsidR="00B506D4" w:rsidRPr="00C034C4" w:rsidRDefault="00B506D4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94901" w14:textId="1ED943A0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3272EC" w14:textId="0A13C15D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F8D1F" w14:textId="3C0B750F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9859961" w14:textId="7ED358C7" w:rsidR="00B506D4" w:rsidRPr="00C034C4" w:rsidRDefault="00B506D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4C4CF7" w:rsidRPr="00C034C4" w14:paraId="2810C6A6" w14:textId="77777777" w:rsidTr="0064298C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124377B" w14:textId="77777777" w:rsidR="004C4CF7" w:rsidRPr="00C034C4" w:rsidRDefault="004C4CF7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  <w:p w14:paraId="2D89460F" w14:textId="158B0EDF" w:rsidR="004C4CF7" w:rsidRPr="00C034C4" w:rsidRDefault="006034FE" w:rsidP="00E466A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735C" w14:textId="00BA1246" w:rsidR="004C4CF7" w:rsidRPr="00C034C4" w:rsidRDefault="0014064D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Rad na siguran način i zaštita okoliša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355F4" w14:textId="57B0E304" w:rsidR="004C4CF7" w:rsidRPr="00C034C4" w:rsidRDefault="00711556" w:rsidP="0064298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Zaštita na radu, zaštita od požari zaštita okoliša</w:t>
            </w:r>
            <w:r w:rsidR="00821F98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5610F" w14:textId="0313121C" w:rsidR="004C4CF7" w:rsidRPr="00C034C4" w:rsidRDefault="009F5A5B" w:rsidP="006559CA">
            <w:pPr>
              <w:spacing w:after="0"/>
              <w:ind w:left="1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95A30" w14:textId="27116B2F" w:rsidR="004C4CF7" w:rsidRPr="00C034C4" w:rsidRDefault="00FF4898" w:rsidP="006559C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59FD5" w14:textId="6773EACF" w:rsidR="004C4CF7" w:rsidRPr="00C034C4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1714B" w14:textId="64E4FFE0" w:rsidR="004C4CF7" w:rsidRPr="00C034C4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E40596" w14:textId="1E969C2A" w:rsidR="004C4CF7" w:rsidRPr="00C034C4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EB7464E" w14:textId="187D3EFD" w:rsidR="004C4CF7" w:rsidRPr="00C034C4" w:rsidRDefault="00FF4898" w:rsidP="0064298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C034C4" w14:paraId="2FEF4CE6" w14:textId="77777777" w:rsidTr="00E466A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C034C4" w:rsidRDefault="00C759FB" w:rsidP="0064298C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BAF7C6" w:rsidR="00C759FB" w:rsidRPr="0064298C" w:rsidRDefault="00FB10F4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9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E8F5418" w:rsidR="00C759FB" w:rsidRPr="0064298C" w:rsidRDefault="00387882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C8EF7B8" w:rsidR="00C759FB" w:rsidRPr="0064298C" w:rsidRDefault="00387882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E12AA3E" w:rsidR="00C759FB" w:rsidRPr="0064298C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96F8E8F" w:rsidR="00C759FB" w:rsidRPr="0064298C" w:rsidRDefault="008520C7" w:rsidP="0064298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4"/>
    <w:p w14:paraId="0A65EC80" w14:textId="77777777" w:rsidR="00C759FB" w:rsidRPr="00C034C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C034C4" w:rsidRDefault="00C759FB" w:rsidP="00C759FB">
      <w:pPr>
        <w:spacing w:after="0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25719544" w:rsidR="00C759FB" w:rsidRDefault="00C759FB" w:rsidP="00C759FB">
      <w:pPr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>SAP– samostalne aktivnosti</w:t>
      </w:r>
      <w:r w:rsidR="00646ABA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 xml:space="preserve"> </w:t>
      </w:r>
      <w:r w:rsidRPr="00C034C4"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t>polaznika</w:t>
      </w:r>
    </w:p>
    <w:p w14:paraId="46BBACBE" w14:textId="60B321F4" w:rsidR="00F0527A" w:rsidRDefault="00F0527A">
      <w:pPr>
        <w:spacing w:after="160" w:line="259" w:lineRule="auto"/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  <w:br w:type="page"/>
      </w:r>
    </w:p>
    <w:p w14:paraId="532A6E39" w14:textId="77777777" w:rsidR="00646ABA" w:rsidRDefault="00646ABA" w:rsidP="00C759FB">
      <w:pPr>
        <w:rPr>
          <w:rFonts w:asciiTheme="minorHAnsi" w:hAnsiTheme="minorHAnsi" w:cstheme="minorHAnsi"/>
          <w:i/>
          <w:color w:val="000000"/>
          <w:sz w:val="16"/>
          <w:szCs w:val="16"/>
          <w:lang w:val="hr-HR"/>
        </w:rPr>
      </w:pPr>
    </w:p>
    <w:p w14:paraId="27A4BFBB" w14:textId="77777777" w:rsidR="00C759FB" w:rsidRPr="00C034C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C034C4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C034C4" w14:paraId="77D6E4DC" w14:textId="77777777" w:rsidTr="00E466A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239FEDE4" w:rsidR="00C759FB" w:rsidRPr="006559CA" w:rsidRDefault="00F97F97" w:rsidP="00E466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6559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Montiranje i spajanje kotlova za biomasu</w:t>
            </w:r>
          </w:p>
        </w:tc>
      </w:tr>
      <w:tr w:rsidR="00C759FB" w:rsidRPr="00C034C4" w14:paraId="4B408B59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034C4" w:rsidRDefault="00C759FB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C759FB" w:rsidRPr="00C034C4" w14:paraId="08317D75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9FFAF59" w14:textId="77777777" w:rsidR="009F5A5B" w:rsidRPr="008905D1" w:rsidRDefault="009F5A5B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905D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 1: Kotlovi na biomasu</w:t>
            </w:r>
          </w:p>
          <w:p w14:paraId="70F6BE4C" w14:textId="77777777" w:rsidR="009F5A5B" w:rsidRPr="008905D1" w:rsidRDefault="001C1D84" w:rsidP="009F5A5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6" w:history="1">
              <w:r w:rsidR="009F5A5B" w:rsidRPr="008905D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https://hko.srce.hr/registar/skup-ishoda-ucenja/detalji/15362</w:t>
              </w:r>
            </w:hyperlink>
            <w:r w:rsidR="009F5A5B" w:rsidRPr="008905D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F9E639B" w14:textId="77777777" w:rsidR="009F5A5B" w:rsidRPr="008905D1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905D1">
              <w:rPr>
                <w:rFonts w:cstheme="minorHAnsi"/>
                <w:sz w:val="20"/>
                <w:szCs w:val="20"/>
              </w:rPr>
              <w:t>SIU 2: Montiranje i spajanje kotlova za biomasu</w:t>
            </w:r>
          </w:p>
          <w:p w14:paraId="6A5FEE26" w14:textId="77777777" w:rsidR="009F5A5B" w:rsidRPr="008905D1" w:rsidRDefault="001C1D84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7" w:history="1">
              <w:r w:rsidR="009F5A5B" w:rsidRPr="008905D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https://hko.srce.hr/registar/skup-ishoda-ucenja/detalji/2008</w:t>
              </w:r>
            </w:hyperlink>
          </w:p>
          <w:p w14:paraId="1E604807" w14:textId="77777777" w:rsidR="009F5A5B" w:rsidRPr="008905D1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905D1">
              <w:t xml:space="preserve">SIU 3: </w:t>
            </w:r>
            <w:r w:rsidRPr="008905D1">
              <w:rPr>
                <w:rFonts w:cstheme="minorHAnsi"/>
                <w:sz w:val="20"/>
                <w:szCs w:val="20"/>
              </w:rPr>
              <w:t>Kvaliteta procesa i rada kotlova na biomasu</w:t>
            </w:r>
          </w:p>
          <w:p w14:paraId="48EEB20D" w14:textId="2565FB1B" w:rsidR="00DC68EA" w:rsidRPr="009F5A5B" w:rsidRDefault="001C1D84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28" w:history="1">
              <w:r w:rsidR="009F5A5B" w:rsidRPr="008905D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https://hko.srce.hr/registar/skup-ishoda-ucenja/detalji/2010</w:t>
              </w:r>
            </w:hyperlink>
          </w:p>
        </w:tc>
      </w:tr>
      <w:tr w:rsidR="00C759FB" w:rsidRPr="00C034C4" w14:paraId="4BE1DF24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5A230235" w:rsidR="00C759FB" w:rsidRPr="00C034C4" w:rsidRDefault="006034FE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  <w:r w:rsidR="00827455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C034C4" w14:paraId="0308AD4C" w14:textId="77777777" w:rsidTr="00E466A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034C4" w:rsidRDefault="00C759FB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C5BD9" w:rsidRPr="00C034C4" w14:paraId="070A689A" w14:textId="77777777" w:rsidTr="00E466A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C5BD9" w:rsidRPr="00C034C4" w:rsidRDefault="00CC5BD9" w:rsidP="00CC5BD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C71AE4A" w:rsidR="00CC5BD9" w:rsidRPr="00C034C4" w:rsidRDefault="006559CA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40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</w:t>
            </w:r>
            <w:r w:rsidR="006034FE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67622E82" w:rsidR="00CC5BD9" w:rsidRPr="00C034C4" w:rsidRDefault="006559CA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120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6034FE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60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 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48366E21" w:rsidR="00CC5BD9" w:rsidRPr="00C034C4" w:rsidRDefault="006559CA" w:rsidP="0064298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40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901BE0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</w:tr>
      <w:tr w:rsidR="00C759FB" w:rsidRPr="00C034C4" w14:paraId="7976F4E4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51DBED5" w:rsidR="00C759FB" w:rsidRPr="00C034C4" w:rsidRDefault="003F7F2C" w:rsidP="00E466A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82745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bvezni</w:t>
            </w:r>
          </w:p>
        </w:tc>
      </w:tr>
      <w:tr w:rsidR="00C759FB" w:rsidRPr="00C034C4" w14:paraId="1BC4FD5C" w14:textId="77777777" w:rsidTr="00E466A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4DBD74A" w14:textId="632F3B4E" w:rsidR="00753CB4" w:rsidRPr="00C034C4" w:rsidRDefault="007B70AF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Cilj modula je polaznicima omogućiti stjecanje znanja i vještina o </w:t>
            </w:r>
            <w:r w:rsidR="007575A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montiranju i spajanju kotlova za biomasu</w:t>
            </w:r>
            <w:r w:rsidR="00F435F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 siguran način</w:t>
            </w:r>
            <w:r w:rsidR="00753CB4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uz brigu za okoliš i u skladu s </w:t>
            </w:r>
            <w:r w:rsidR="00C03FA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normama i standardima za kvalitetnu obradu.</w:t>
            </w:r>
          </w:p>
          <w:p w14:paraId="3502F9CB" w14:textId="77777777" w:rsidR="00C759FB" w:rsidRPr="00C034C4" w:rsidRDefault="007B70AF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usvojiti znanja o </w:t>
            </w:r>
            <w:r w:rsidR="00F5568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normama i propisima za kotlove za biomasu </w:t>
            </w:r>
            <w:r w:rsidR="006652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F5568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pravilima ugradnje manjih kotlova te će razumjeti i razlikovati </w:t>
            </w:r>
            <w:r w:rsidR="000205B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elemente</w:t>
            </w:r>
            <w:r w:rsidR="000451C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kotlova i peći za biomasu, njihov način rada te termo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 w:rsidR="000451C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kemijske procese 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koji se odvijaju u is</w:t>
            </w:r>
            <w:r w:rsidR="000205B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="000E18B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ima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1590F576" w14:textId="1FFA7BD4" w:rsidR="003B6152" w:rsidRPr="00C034C4" w:rsidRDefault="008D2FD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B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iti 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će 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sposobni samostalno izvršiti montažu kotla za biomasu te spajanje na dimovodni i toplovodni sustav, vodovodnu instalaciju te električnu regulaciju.  </w:t>
            </w:r>
          </w:p>
          <w:p w14:paraId="2DB1DF01" w14:textId="676D45D6" w:rsidR="008D2FD1" w:rsidRPr="00C034C4" w:rsidRDefault="008D2FD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Steći će i 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praktičn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vještin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3B615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izrade garancije za kvalitetnu izvedbu kotla za biomasu i izjave o sukladnosti materijala i opreme</w:t>
            </w:r>
            <w:r w:rsidR="006034F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</w:tc>
      </w:tr>
      <w:tr w:rsidR="00C759FB" w:rsidRPr="00C034C4" w14:paraId="6BF7193D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996B295" w:rsidR="00C759FB" w:rsidRPr="009826BD" w:rsidRDefault="00CF265C" w:rsidP="006526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</w:t>
            </w:r>
            <w:r w:rsidR="00BB56F9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orme i propisi 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za kotlove za biomasu</w:t>
            </w:r>
            <w:r w:rsidR="006526E5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elementi kotlova i peći za biomasu</w:t>
            </w:r>
            <w:r w:rsidR="006526E5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</w:t>
            </w:r>
            <w:r w:rsidR="00132592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736AC3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termo</w:t>
            </w:r>
            <w:r w:rsidR="000205BA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-</w:t>
            </w:r>
            <w:r w:rsidR="00736AC3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kemijski procesi izgaranja</w:t>
            </w:r>
            <w:r w:rsidR="00E36B50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 rasplinjavanje, piroliza</w:t>
            </w:r>
            <w:r w:rsidR="007102EB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, prohodnost dimovoda, tehničko tehnološka dokumentacija, priprema tople vode i grijanja, sigurnosni elementi kotla za biomasu, regulacija kotla za biomasu</w:t>
            </w:r>
            <w:r w:rsidR="00783C44" w:rsidRPr="009826B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, </w:t>
            </w:r>
            <w:r w:rsidR="00783C44" w:rsidRPr="009826BD">
              <w:rPr>
                <w:i/>
                <w:iCs/>
                <w:sz w:val="20"/>
                <w:szCs w:val="20"/>
                <w:lang w:val="hr-HR"/>
              </w:rPr>
              <w:t>garancija za kvalitetnu izvedbu, izjava o sukladnosti materijala i opreme, plan održavanja</w:t>
            </w:r>
          </w:p>
        </w:tc>
      </w:tr>
      <w:tr w:rsidR="00C759FB" w:rsidRPr="00C034C4" w14:paraId="53185C32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F7A2BF3" w14:textId="112DF852" w:rsidR="007B04E0" w:rsidRPr="00C034C4" w:rsidRDefault="007B04E0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Ishodi učenja navedeni u skupu ishoda učenja Kotlovi za biomasu impliciraju stjecanje znanja i vještina povezanih s </w:t>
            </w:r>
            <w:r w:rsidR="00836DF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normama i pravilima te načinom rada kotlova za biomasu.</w:t>
            </w:r>
          </w:p>
          <w:p w14:paraId="79F43405" w14:textId="661D0A11" w:rsidR="00E67458" w:rsidRPr="00C034C4" w:rsidRDefault="00E67458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Oblik učenja temeljenog na radu u ovome modulu jest praktičan rad koristeći kotao za biomasu na lokaciji ugradnje koja posjeduje pripremu tople vode i grijanja, vodovodnu instalaciju i električnu pripremu te ispravnu tehničko-tehnološku dokumentaciju. Učenje temeljeno na radu odvija se pod nadzorom stručne osobe primjenjujući pravila zaštite na radu.</w:t>
            </w:r>
          </w:p>
          <w:p w14:paraId="02F383EA" w14:textId="125EA757" w:rsidR="00E67458" w:rsidRPr="0064298C" w:rsidRDefault="00E67458" w:rsidP="0064298C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Polaznik će</w:t>
            </w:r>
            <w:r w:rsidR="0062429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C2B2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 montiranju i spajanju kotla za biomasu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suradnji s predavačem izrađivati garanciju za kvalitetnu izvedbu i izjavu o sukladnosti materijala i opreme, </w:t>
            </w:r>
            <w:r w:rsidR="007C2B2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vršiti analizu posla i samovrednovati vlastiti rad.</w:t>
            </w:r>
          </w:p>
        </w:tc>
      </w:tr>
      <w:tr w:rsidR="00C759FB" w:rsidRPr="00C034C4" w14:paraId="3B093890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034C4" w:rsidRDefault="00C759FB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E9489BF" w14:textId="77777777" w:rsidR="00B45F4F" w:rsidRPr="006F1A92" w:rsidRDefault="00B45F4F" w:rsidP="00EF186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6F1A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Literatura za nastavnike:</w:t>
            </w:r>
          </w:p>
          <w:p w14:paraId="1719E750" w14:textId="72445E5F" w:rsidR="00C759FB" w:rsidRDefault="00460640" w:rsidP="006F1A9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6F1A92">
              <w:rPr>
                <w:rFonts w:cstheme="minorHAnsi"/>
                <w:sz w:val="20"/>
                <w:szCs w:val="20"/>
              </w:rPr>
              <w:t>Šegon i sur.</w:t>
            </w:r>
            <w:r w:rsidR="0059551A" w:rsidRPr="006F1A92">
              <w:rPr>
                <w:rFonts w:cstheme="minorHAnsi"/>
                <w:sz w:val="20"/>
                <w:szCs w:val="20"/>
              </w:rPr>
              <w:t xml:space="preserve"> (2014.)  - </w:t>
            </w:r>
            <w:r w:rsidR="00EF1866" w:rsidRPr="006F1A92">
              <w:rPr>
                <w:rFonts w:cstheme="minorHAnsi"/>
                <w:sz w:val="20"/>
                <w:szCs w:val="20"/>
              </w:rPr>
              <w:t>Priručnik za učinkovito korištenje biomase</w:t>
            </w:r>
            <w:r w:rsidRPr="006F1A92">
              <w:rPr>
                <w:rFonts w:cstheme="minorHAnsi"/>
                <w:sz w:val="20"/>
                <w:szCs w:val="20"/>
              </w:rPr>
              <w:t xml:space="preserve"> </w:t>
            </w:r>
            <w:r w:rsidR="0059551A" w:rsidRPr="006F1A92">
              <w:rPr>
                <w:rFonts w:cstheme="minorHAnsi"/>
                <w:sz w:val="20"/>
                <w:szCs w:val="20"/>
              </w:rPr>
              <w:t>Hrvatski šumarski institut</w:t>
            </w:r>
          </w:p>
          <w:p w14:paraId="3E453E0C" w14:textId="57D66F1F" w:rsidR="001A424F" w:rsidRPr="001A424F" w:rsidRDefault="001A424F" w:rsidP="001A424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A424F">
              <w:rPr>
                <w:rFonts w:cstheme="minorHAnsi"/>
                <w:sz w:val="20"/>
                <w:szCs w:val="20"/>
              </w:rPr>
              <w:t>Skup autora: „Priručnik o gorivima iz drvne biomase“, Regionalna energetska agencija Sjeverozapadne Hrvatske, Zagreb, 2008.</w:t>
            </w:r>
          </w:p>
          <w:p w14:paraId="43E55DFE" w14:textId="164C2690" w:rsidR="001A424F" w:rsidRDefault="001A424F" w:rsidP="001A424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1A424F">
              <w:rPr>
                <w:rFonts w:cstheme="minorHAnsi"/>
                <w:sz w:val="20"/>
                <w:szCs w:val="20"/>
              </w:rPr>
              <w:t>Šimić, Z.;</w:t>
            </w:r>
            <w:r w:rsidR="005E6DD3">
              <w:rPr>
                <w:rFonts w:cstheme="minorHAnsi"/>
                <w:sz w:val="20"/>
                <w:szCs w:val="20"/>
              </w:rPr>
              <w:t xml:space="preserve"> </w:t>
            </w:r>
            <w:r w:rsidRPr="001A424F">
              <w:rPr>
                <w:rFonts w:cstheme="minorHAnsi"/>
                <w:sz w:val="20"/>
                <w:szCs w:val="20"/>
              </w:rPr>
              <w:t>Šljivac,</w:t>
            </w:r>
            <w:r w:rsidR="005E6DD3">
              <w:rPr>
                <w:rFonts w:cstheme="minorHAnsi"/>
                <w:sz w:val="20"/>
                <w:szCs w:val="20"/>
              </w:rPr>
              <w:t xml:space="preserve"> </w:t>
            </w:r>
            <w:r w:rsidRPr="001A424F">
              <w:rPr>
                <w:rFonts w:cstheme="minorHAnsi"/>
                <w:sz w:val="20"/>
                <w:szCs w:val="20"/>
              </w:rPr>
              <w:t>D</w:t>
            </w:r>
            <w:r w:rsidR="005E6DD3">
              <w:rPr>
                <w:rFonts w:cstheme="minorHAnsi"/>
                <w:sz w:val="20"/>
                <w:szCs w:val="20"/>
              </w:rPr>
              <w:t>.</w:t>
            </w:r>
            <w:r w:rsidRPr="001A424F">
              <w:rPr>
                <w:rFonts w:cstheme="minorHAnsi"/>
                <w:sz w:val="20"/>
                <w:szCs w:val="20"/>
              </w:rPr>
              <w:t>: „Obnovljivi izvori energije“, Zagreb, 2009.</w:t>
            </w:r>
          </w:p>
          <w:p w14:paraId="6257A427" w14:textId="65368D78" w:rsidR="00D73A92" w:rsidRDefault="00D73A92" w:rsidP="00C31DE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D73A92">
              <w:rPr>
                <w:rFonts w:cstheme="minorHAnsi"/>
                <w:sz w:val="20"/>
                <w:szCs w:val="20"/>
              </w:rPr>
              <w:t>Domac J. (2011), Energija biomase, Tehnička škola Ruđera Boškovića i Srednja škola Oroslavje</w:t>
            </w:r>
          </w:p>
          <w:p w14:paraId="17B3CA45" w14:textId="670D7548" w:rsidR="003077E9" w:rsidRPr="003077E9" w:rsidRDefault="003077E9" w:rsidP="003077E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3077E9">
              <w:rPr>
                <w:rFonts w:cstheme="minorHAnsi"/>
                <w:sz w:val="20"/>
                <w:szCs w:val="20"/>
              </w:rPr>
              <w:t>Razni autori (2012), Priručnik kako planirati i provesti projekt područnog grijanja na biomasu,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77E9">
              <w:rPr>
                <w:rFonts w:cstheme="minorHAnsi"/>
                <w:sz w:val="20"/>
                <w:szCs w:val="20"/>
              </w:rPr>
              <w:t>Regionalna energetska agencija Sjeverozapadne Hrvatske, Zagreb, Hrvatska</w:t>
            </w:r>
          </w:p>
          <w:p w14:paraId="1F28EEDA" w14:textId="58E505AF" w:rsidR="003077E9" w:rsidRPr="003077E9" w:rsidRDefault="003077E9" w:rsidP="003077E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3077E9">
              <w:rPr>
                <w:rFonts w:cstheme="minorHAnsi"/>
                <w:sz w:val="20"/>
                <w:szCs w:val="20"/>
              </w:rPr>
              <w:t>Razni autori (2012), Priručnik o gorivima iz drvne biomase, Regionalna energetska agencija</w:t>
            </w:r>
            <w:r w:rsidR="00492061">
              <w:rPr>
                <w:rFonts w:cstheme="minorHAnsi"/>
                <w:sz w:val="20"/>
                <w:szCs w:val="20"/>
              </w:rPr>
              <w:t xml:space="preserve"> </w:t>
            </w:r>
            <w:r w:rsidRPr="003077E9">
              <w:rPr>
                <w:rFonts w:cstheme="minorHAnsi"/>
                <w:sz w:val="20"/>
                <w:szCs w:val="20"/>
              </w:rPr>
              <w:t>Sjeverozapadne Hrvatske, Zagreb, Hrvatska</w:t>
            </w:r>
          </w:p>
          <w:p w14:paraId="07128427" w14:textId="77777777" w:rsidR="00C759FB" w:rsidRPr="006F1A92" w:rsidRDefault="00C759FB" w:rsidP="00D05A6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D11FF92" w14:textId="77777777" w:rsidR="006F1A92" w:rsidRPr="006F1A92" w:rsidRDefault="006F1A92" w:rsidP="006F1A9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F1A92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57CBA86D" w14:textId="1C1AFB0A" w:rsidR="00C759FB" w:rsidRPr="006F1A92" w:rsidRDefault="006F1A92" w:rsidP="006F1A9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6F1A92">
              <w:rPr>
                <w:rFonts w:cstheme="minorHAnsi"/>
                <w:noProof/>
                <w:sz w:val="20"/>
                <w:szCs w:val="20"/>
              </w:rPr>
              <w:t>Skripta za polaznike koju su izradili predavači.</w:t>
            </w:r>
          </w:p>
        </w:tc>
      </w:tr>
    </w:tbl>
    <w:p w14:paraId="6BCBB36B" w14:textId="4F7C907E" w:rsidR="00675A3D" w:rsidRDefault="00675A3D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2DFEF257" w14:textId="55A05714" w:rsidR="0063562D" w:rsidRDefault="0063562D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br w:type="page"/>
      </w:r>
    </w:p>
    <w:p w14:paraId="03398BA3" w14:textId="77777777" w:rsidR="00646ABA" w:rsidRDefault="00646ABA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C034C4" w14:paraId="11953FAD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4EBE532E" w:rsidR="00C759FB" w:rsidRPr="00C034C4" w:rsidRDefault="00675A3D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br w:type="page"/>
            </w:r>
            <w:r w:rsidR="00C759FB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7913CE4" w:rsidR="00C759FB" w:rsidRPr="009F5A5B" w:rsidRDefault="00827455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Kotlovi za biomasu</w:t>
            </w:r>
            <w:r w:rsid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, 2 CSVET</w:t>
            </w:r>
          </w:p>
        </w:tc>
      </w:tr>
      <w:tr w:rsidR="00C759FB" w:rsidRPr="00C034C4" w14:paraId="31E380B7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C034C4" w14:paraId="119A87DB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1EBC06F6" w:rsidR="00C759FB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Poznavati norme i propise za kotlove za biomasu</w:t>
            </w:r>
          </w:p>
        </w:tc>
      </w:tr>
      <w:tr w:rsidR="00C759FB" w:rsidRPr="00C034C4" w14:paraId="5EAD6B6C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1BFE599F" w:rsidR="00C759FB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Opisati elemente kotlova i peći za biomasu</w:t>
            </w:r>
          </w:p>
        </w:tc>
      </w:tr>
      <w:tr w:rsidR="005629F3" w:rsidRPr="00C034C4" w14:paraId="74298263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0820A" w14:textId="2368316A" w:rsidR="005629F3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Objasniti način rada kotlova i peći za biomasu</w:t>
            </w:r>
          </w:p>
        </w:tc>
      </w:tr>
      <w:tr w:rsidR="005629F3" w:rsidRPr="00C034C4" w14:paraId="4DCA4222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80450" w14:textId="256891AB" w:rsidR="005629F3" w:rsidRPr="00494BB9" w:rsidRDefault="007005BC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Poznavati propise iz područja gradnje kotlovnice i dimnjaka</w:t>
            </w:r>
          </w:p>
        </w:tc>
      </w:tr>
      <w:tr w:rsidR="005629F3" w:rsidRPr="00C034C4" w14:paraId="4E05B37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F3088" w14:textId="6FCFF43B" w:rsidR="005629F3" w:rsidRPr="00494BB9" w:rsidRDefault="0077525D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>Opisati termo-kemijske procese izgaranja, rasplinjavanja i pirolize</w:t>
            </w:r>
          </w:p>
        </w:tc>
      </w:tr>
      <w:tr w:rsidR="00C759FB" w:rsidRPr="00C034C4" w14:paraId="77AF6BD9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1CB55183" w:rsidR="00C759FB" w:rsidRPr="00494BB9" w:rsidRDefault="0077525D" w:rsidP="00494BB9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94BB9">
              <w:rPr>
                <w:rFonts w:cstheme="minorHAnsi"/>
                <w:sz w:val="20"/>
                <w:szCs w:val="20"/>
              </w:rPr>
              <w:t xml:space="preserve">Objasniti pravila ugradnje manjih kotlova i peći na biomasu do 100 </w:t>
            </w:r>
            <w:r w:rsidR="00AA088F">
              <w:rPr>
                <w:rFonts w:cstheme="minorHAnsi"/>
                <w:sz w:val="20"/>
                <w:szCs w:val="20"/>
              </w:rPr>
              <w:t>kW</w:t>
            </w:r>
          </w:p>
        </w:tc>
      </w:tr>
      <w:tr w:rsidR="00C759FB" w:rsidRPr="00C034C4" w14:paraId="089FE698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5" w:name="_Hlk92457663"/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  <w:bookmarkEnd w:id="5"/>
          </w:p>
        </w:tc>
      </w:tr>
      <w:tr w:rsidR="00C759FB" w:rsidRPr="00C034C4" w14:paraId="27BCC39F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A64654" w14:textId="77777777" w:rsidR="00346D18" w:rsidRPr="00346D18" w:rsidRDefault="00346D18" w:rsidP="00052542">
            <w:pPr>
              <w:tabs>
                <w:tab w:val="left" w:pos="2820"/>
              </w:tabs>
              <w:spacing w:after="12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Nastavnik metodama heurističkog razgovora, objašnjavanjem i propitivanjem polaznikovog razumijevanja uvodi polaznike u norme i propise za kotlove na biomasu.</w:t>
            </w:r>
          </w:p>
          <w:p w14:paraId="42E4E4F3" w14:textId="77777777" w:rsidR="00346D18" w:rsidRPr="00346D18" w:rsidRDefault="00346D18" w:rsidP="00052542">
            <w:pPr>
              <w:tabs>
                <w:tab w:val="left" w:pos="2820"/>
              </w:tabs>
              <w:spacing w:after="12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Demonstracijom elemenata modela kotlova i peći na biomasu te simulacijom radnih situacija polaznike se usmjerava na stjecanje znanja i vještina potrebnih za razumijevanje termo-kemijskih procesa izgaranja, rasplinjavanja i pirolize koji nastaju upotrebom kotlova i peći na biomasu, razumijevanje pravila njihove ugradnje kao i načina njihova rada. </w:t>
            </w:r>
          </w:p>
          <w:p w14:paraId="62300F59" w14:textId="77777777" w:rsidR="00346D18" w:rsidRPr="00346D18" w:rsidRDefault="00346D18" w:rsidP="00346D1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dobivenih informacija o elementima kotlova i peći na biomasu, normama, propisima te načinima rada, polaznik samostalno ili u paru istražuje prednosti i nedostatke pojedinih elemenata kotlova i peći na biomasu s obzirom na vrstu goriva i predlaže optimalan izbor na temelju njihove analize i usporedbe. U svom istraživanju poseban naglasak stavlja na utjecaj izbora radnih tvari na okoliš. Polaznik obrazlaže izbor elemenata kotlova i peći, radnih tvari i sustava grijanja te rezultate analize prikazuje u prezentaciji, koristeći prethodno stečena znanja. </w:t>
            </w:r>
          </w:p>
          <w:p w14:paraId="795E0A44" w14:textId="68C9B7B3" w:rsidR="00C759FB" w:rsidRPr="00C034C4" w:rsidRDefault="00346D18" w:rsidP="00346D1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46D18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Kod polaznika se potiče kooperativno učenje (korištenjem zadataka i strategija koje će poticati polaznike na suradničko i kooperativno učenje/u paru, grupama, skupinama timovima).</w:t>
            </w:r>
          </w:p>
        </w:tc>
      </w:tr>
      <w:tr w:rsidR="00C759FB" w:rsidRPr="00C034C4" w14:paraId="5678871B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8A736" w14:textId="586354A1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Norme i propisi za kotlove za biomasu</w:t>
            </w:r>
          </w:p>
          <w:p w14:paraId="78B3ACA3" w14:textId="5CB83845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Elementi kotlova i peći za biomasu i njihov način rada</w:t>
            </w:r>
          </w:p>
          <w:p w14:paraId="45111E45" w14:textId="2F5F50C2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Propisi iz područja gradnje kotlovnice i dimnjaka</w:t>
            </w:r>
          </w:p>
          <w:p w14:paraId="3CC31D6D" w14:textId="2667B390" w:rsidR="0005146D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Termo-kemijske procese izgaranja, rasplinjavanja i pirolize</w:t>
            </w:r>
          </w:p>
          <w:p w14:paraId="24511AA9" w14:textId="31046514" w:rsidR="00C759FB" w:rsidRPr="00C034C4" w:rsidRDefault="0005146D" w:rsidP="00227B40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Pravila ugradnje manjih kotlova i peći na biomasu do 100 kW</w:t>
            </w:r>
          </w:p>
        </w:tc>
      </w:tr>
      <w:tr w:rsidR="00C759FB" w:rsidRPr="00C034C4" w14:paraId="0D4BAE31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</w:t>
            </w:r>
            <w:r w:rsidR="00F35919"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C034C4" w14:paraId="661F47AD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DECBB7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projektnim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561D1707" w14:textId="77777777" w:rsidR="0064298C" w:rsidRPr="0064298C" w:rsidRDefault="0064298C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6429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Projektni zadatak: </w:t>
            </w:r>
          </w:p>
          <w:p w14:paraId="62CAE913" w14:textId="1EA90B24" w:rsidR="003379D6" w:rsidRPr="003379D6" w:rsidRDefault="003379D6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3379D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Za zagrijavanje 1 m² prostora visokog 2,5 m s fasadom debljine 5 cm u kojem je instaliran sustav grijanja s radijatorima pogonjenim kotlovima i peći na biomasu potrebno je 144 W topline, dok je za zagrijavanje 1 m² prostora visokog 3 m s fasadom debljine 10 cm potrebno je 120 W topline. </w:t>
            </w:r>
          </w:p>
          <w:p w14:paraId="10108DDE" w14:textId="1D5C6502" w:rsidR="00C759FB" w:rsidRPr="00C034C4" w:rsidRDefault="003379D6" w:rsidP="003379D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79D6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Izračunaj koliko je topline potrebno za zagrijavanje svakog pojedinog prostora, ako on iznosi 130 m².</w:t>
            </w:r>
            <w:r w:rsidR="0062267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 konkretnom modelu kotla</w:t>
            </w:r>
            <w:r w:rsidR="002D3DE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polaznik će</w:t>
            </w:r>
            <w:r w:rsidR="0062267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E00BF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opisati sve elemente</w:t>
            </w:r>
            <w:r w:rsidR="00173C9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njihov način rada</w:t>
            </w:r>
            <w:r w:rsidR="00CA124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 termo</w:t>
            </w:r>
            <w:r w:rsidR="000205B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-</w:t>
            </w:r>
            <w:r w:rsidR="00CA124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kemijske procese izgaranja, rasplinjavanja </w:t>
            </w:r>
            <w:r w:rsidR="00CA1243" w:rsidRP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pirolize</w:t>
            </w:r>
            <w:r w:rsidR="00557B1A" w:rsidRP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</w:tc>
      </w:tr>
      <w:tr w:rsidR="00C759FB" w:rsidRPr="00C034C4" w14:paraId="7B414016" w14:textId="77777777" w:rsidTr="00AB278B">
        <w:trPr>
          <w:trHeight w:val="53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C034C4" w14:paraId="744F7A56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C034C4" w:rsidRDefault="00C759FB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6312FE56" w14:textId="090F137F" w:rsidR="00675A3D" w:rsidRDefault="00675A3D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226BA457" w14:textId="77777777" w:rsidR="00675A3D" w:rsidRDefault="00675A3D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br w:type="page"/>
      </w:r>
    </w:p>
    <w:p w14:paraId="264D930D" w14:textId="77777777" w:rsidR="00387882" w:rsidRPr="00C034C4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9F5A5B" w14:paraId="28AE35C9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41E34" w14:textId="779C20A4" w:rsidR="00387882" w:rsidRPr="009F5A5B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AF79F7D" w14:textId="748D1980" w:rsidR="00387882" w:rsidRPr="009F5A5B" w:rsidRDefault="00BD41BC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Montiranje i spajanje kotlova za biomasu</w:t>
            </w:r>
            <w:r w:rsidR="009F5A5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, 5 CSVET</w:t>
            </w:r>
          </w:p>
        </w:tc>
      </w:tr>
      <w:tr w:rsidR="00387882" w:rsidRPr="00C034C4" w14:paraId="6F18D16B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E521C6A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387882" w:rsidRPr="00C034C4" w14:paraId="3B291D36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6D794" w14:textId="68E52221" w:rsidR="00387882" w:rsidRPr="008306B9" w:rsidRDefault="000868F5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Montirati komponente kotla za biomasu</w:t>
            </w:r>
          </w:p>
        </w:tc>
      </w:tr>
      <w:tr w:rsidR="00387882" w:rsidRPr="00C034C4" w14:paraId="7C845F71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26F4B" w14:textId="16ED4108" w:rsidR="00387882" w:rsidRPr="008306B9" w:rsidRDefault="0076421D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i provjeriti prohodnost dimovoda na dimnjaku</w:t>
            </w:r>
          </w:p>
        </w:tc>
      </w:tr>
      <w:tr w:rsidR="000868F5" w:rsidRPr="00C034C4" w14:paraId="0ED53942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EC33F" w14:textId="595A8A1F" w:rsidR="000868F5" w:rsidRPr="008306B9" w:rsidRDefault="009762D8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Spajati kotao za biomasu sa sustavom za pripremu tople vode i grijanja prema tehničkoj i tehnološkoj dokumentaciji</w:t>
            </w:r>
          </w:p>
        </w:tc>
      </w:tr>
      <w:tr w:rsidR="000868F5" w:rsidRPr="00C034C4" w14:paraId="06F7E30E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CF4E34" w14:textId="7A99F58D" w:rsidR="000868F5" w:rsidRPr="008306B9" w:rsidRDefault="00406F9E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Priključiti kotao za biomasu na vodovodnu instalaciju</w:t>
            </w:r>
          </w:p>
        </w:tc>
      </w:tr>
      <w:tr w:rsidR="000868F5" w:rsidRPr="00C034C4" w14:paraId="40E3BE6B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0387B" w14:textId="66BC4FB9" w:rsidR="000868F5" w:rsidRPr="008306B9" w:rsidRDefault="00E374BD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sigurnosne i druge elementa sustava s kotlom za biomasu</w:t>
            </w:r>
          </w:p>
        </w:tc>
      </w:tr>
      <w:tr w:rsidR="00387882" w:rsidRPr="00C034C4" w14:paraId="457959AC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E7206" w14:textId="4675B8A5" w:rsidR="00387882" w:rsidRPr="008306B9" w:rsidRDefault="0011082B" w:rsidP="008306B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8306B9">
              <w:rPr>
                <w:rFonts w:cstheme="minorHAnsi"/>
                <w:iCs/>
                <w:sz w:val="20"/>
                <w:szCs w:val="20"/>
              </w:rPr>
              <w:t>Spojiti električnu instalaciju i regulaciju kotla za biomasu</w:t>
            </w:r>
          </w:p>
        </w:tc>
      </w:tr>
      <w:tr w:rsidR="00387882" w:rsidRPr="00C034C4" w14:paraId="3FA92E22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72015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4E2AFEAA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5BA08C" w14:textId="15753191" w:rsidR="00387882" w:rsidRPr="00C034C4" w:rsidRDefault="00EF7AD6" w:rsidP="008F56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Prije </w:t>
            </w:r>
            <w:r w:rsidR="00B8285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učenja temeljenog na radu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važno je detaljno opisati i demonstrirati na modelu </w:t>
            </w:r>
            <w:r w:rsidR="00CC423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postupak montiranja i spajanja kotlova za biomasu. Tu se osim demonstracije dobro poslužiti i raznim shemama, pisanim materijalima te audiovizualnim sadržajima, no to čini samo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uvod. Ve</w:t>
            </w:r>
            <w:r w:rsidR="008F566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ć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inski se ovaj SIU ostvaruje kroz </w:t>
            </w:r>
            <w:r w:rsidR="00B8285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učenje temelje</w:t>
            </w:r>
            <w:r w:rsidR="006A212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no na radu</w:t>
            </w:r>
            <w:r w:rsidR="009D234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</w:t>
            </w:r>
            <w:r w:rsidR="00BD79F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Polaznik će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prvo gledati sve </w:t>
            </w:r>
            <w:r w:rsidR="006A212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demonstrirane </w:t>
            </w:r>
            <w:r w:rsidR="005925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postupke montiranja i spajanja kotlova za biomasu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koji i </w:t>
            </w:r>
            <w:r w:rsidR="00DF16DE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čine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ishode ovog SIU-a</w:t>
            </w:r>
            <w:r w:rsidR="005925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čega će 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progresivno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sve više asistirati u tim postupcima</w:t>
            </w:r>
            <w:r w:rsidR="00E761D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Kada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nastavnik procjeni da je polaznik za to spreman, polaznik ć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19403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samostalno </w:t>
            </w:r>
            <w:r w:rsidR="005440D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raditi uz nadzor. Pri tome će objašnjavati koji postupak radi, </w:t>
            </w:r>
            <w:r w:rsidR="003148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kako ga radi, te </w:t>
            </w:r>
            <w:r w:rsidR="005440D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zašto ga rad</w:t>
            </w:r>
            <w:r w:rsidR="003148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kako bi pokazao u kojoj mjeri razumije</w:t>
            </w:r>
            <w:r w:rsidR="00CD39C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ono što radi. Strukovni učitelj</w:t>
            </w:r>
            <w:r w:rsid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/mentor</w:t>
            </w:r>
            <w:r w:rsidR="00CD39C5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će nadgledati njegov rad te ukazivati na </w:t>
            </w:r>
            <w:r w:rsidR="00E761D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pogreške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 probleme te davati dodatna pojašnjenja i upute kada je to potrebno, </w:t>
            </w:r>
            <w:r w:rsidR="006477B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intervenirati kada je potrebno i voditi računa o sigurnosti i kvaliteti postupaka</w:t>
            </w:r>
            <w:r w:rsidR="00BC5D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7919F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ali će i poticati samostalnost </w:t>
            </w:r>
            <w:r w:rsidR="00DB248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pri radu.</w:t>
            </w:r>
          </w:p>
        </w:tc>
      </w:tr>
      <w:tr w:rsidR="00387882" w:rsidRPr="00C034C4" w14:paraId="6349FDE9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78977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8D7E0" w14:textId="3FBDAD6C" w:rsidR="00387882" w:rsidRPr="00C034C4" w:rsidRDefault="00462B62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Montaža komponenti kotla za biomasu</w:t>
            </w:r>
          </w:p>
          <w:p w14:paraId="6A9DAFD3" w14:textId="0084C738" w:rsidR="00462B62" w:rsidRPr="00C034C4" w:rsidRDefault="003A7167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dimovoda</w:t>
            </w:r>
          </w:p>
          <w:p w14:paraId="7A59D03F" w14:textId="21BADBAB" w:rsidR="003A7167" w:rsidRPr="00C034C4" w:rsidRDefault="003A7167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sa sustavom za pripremu tople vode i grijanja</w:t>
            </w:r>
          </w:p>
          <w:p w14:paraId="1E8CE024" w14:textId="1402C7CF" w:rsidR="00EA5783" w:rsidRPr="00C034C4" w:rsidRDefault="00EA57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Priključivanje na vodovodnu instalaciju</w:t>
            </w:r>
          </w:p>
          <w:p w14:paraId="36549449" w14:textId="70CB0715" w:rsidR="00EA5783" w:rsidRPr="00C034C4" w:rsidRDefault="00EA57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sigurnosnih elemenata sustava</w:t>
            </w:r>
          </w:p>
          <w:p w14:paraId="365E8611" w14:textId="0A8DB995" w:rsidR="00387882" w:rsidRPr="00C034C4" w:rsidRDefault="001B7C83" w:rsidP="004129C1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iCs/>
                <w:sz w:val="20"/>
                <w:szCs w:val="20"/>
              </w:rPr>
              <w:t>Spajanje električne instalacije i regulacije kotla za biomasu</w:t>
            </w:r>
          </w:p>
        </w:tc>
      </w:tr>
      <w:tr w:rsidR="00387882" w:rsidRPr="00C034C4" w14:paraId="6B9D3244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9EB547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6087332D" w14:textId="77777777" w:rsidTr="007C2B2D">
        <w:trPr>
          <w:trHeight w:val="16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B4132B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64298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projektnim zadatkom, </w:t>
            </w:r>
            <w:r w:rsidRPr="0064298C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3D04142F" w14:textId="4A4EE7CA" w:rsidR="00387882" w:rsidRPr="00C034C4" w:rsidRDefault="00C70B8E" w:rsidP="007E4DF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>Projektni zadatak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: </w:t>
            </w:r>
            <w:r w:rsidR="00DC799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Polaznik će na 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konkretnom </w:t>
            </w:r>
            <w:r w:rsidR="00E27371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modelu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montirati komponente kotla i plamenika prema vrsti biomase.</w:t>
            </w:r>
            <w:r w:rsidR="0030133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Nakon toga s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pojiti sigurnosni ventil, nepovratni ventil i ekspanzijsku posudu. </w:t>
            </w:r>
            <w:r w:rsidR="0030133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</w:t>
            </w:r>
            <w:r w:rsidR="00473C40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provjere od strane stru</w:t>
            </w:r>
            <w:r w:rsidR="005A40C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čnog učitelja</w:t>
            </w:r>
            <w:r w:rsidR="0064298C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/mentora</w:t>
            </w:r>
            <w:r w:rsidR="005A40C4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polaznik će s</w:t>
            </w:r>
            <w:r w:rsidR="006C17C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pojiti regulaciju kotla u strujni krug i pustiti kotao u rad.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Dok radi objašnjavati će što radi, zašto i kako to radi.</w:t>
            </w:r>
          </w:p>
        </w:tc>
      </w:tr>
      <w:tr w:rsidR="00387882" w:rsidRPr="00C034C4" w14:paraId="056D19A0" w14:textId="77777777" w:rsidTr="00AB278B">
        <w:trPr>
          <w:trHeight w:val="549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C338F6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744E7BD1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7CC3F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5E761D4A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509DB2CC" w14:textId="77777777" w:rsidR="00387882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565584F9" w14:textId="77777777" w:rsidR="001E0F35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587360C5" w14:textId="77777777" w:rsidR="001E0F35" w:rsidRPr="00C034C4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0FBF5B2D" w14:textId="77777777" w:rsidR="009F5A5B" w:rsidRDefault="009F5A5B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C034C4" w14:paraId="6D56998E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E11606" w14:textId="6418353D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216BCD1" w14:textId="0BBC6A6F" w:rsidR="00387882" w:rsidRPr="009F5A5B" w:rsidRDefault="003D47B7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Kvaliteta procesa i rada kotlova na biomasu</w:t>
            </w:r>
            <w:r w:rsid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, 1 CSVET</w:t>
            </w:r>
          </w:p>
        </w:tc>
      </w:tr>
      <w:tr w:rsidR="00387882" w:rsidRPr="00C034C4" w14:paraId="7A729644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4DD1B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EC1645" w:rsidRPr="00C034C4" w14:paraId="64E01893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ACF92D" w14:textId="4C3E38E4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Izdati garanciju za kvalitetnu izvedbu kotla za biomasu i izjavu o sukladnosti materijala i opreme</w:t>
            </w:r>
          </w:p>
        </w:tc>
      </w:tr>
      <w:tr w:rsidR="00EC1645" w:rsidRPr="00C034C4" w14:paraId="07625C77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6E092A" w14:textId="0D46784B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Obvezati se na održavanje opreme prema sklopljenom početnom ugovoru</w:t>
            </w:r>
          </w:p>
        </w:tc>
      </w:tr>
      <w:tr w:rsidR="00EC1645" w:rsidRPr="00C034C4" w14:paraId="16D33632" w14:textId="77777777" w:rsidTr="00D05A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315D41" w14:textId="7A757DBD" w:rsidR="00EC1645" w:rsidRPr="008306B9" w:rsidRDefault="00EC1645" w:rsidP="008306B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8306B9">
              <w:rPr>
                <w:sz w:val="20"/>
                <w:szCs w:val="20"/>
              </w:rPr>
              <w:t>Analizirati posao i planirati moguća poboljšanja</w:t>
            </w:r>
          </w:p>
        </w:tc>
      </w:tr>
      <w:tr w:rsidR="00387882" w:rsidRPr="00C034C4" w14:paraId="66DD430D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AE681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429B3C31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62491A" w14:textId="4DD7B1F7" w:rsidR="00387882" w:rsidRPr="00C034C4" w:rsidRDefault="00E615AC" w:rsidP="006838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Putem predavanja uz vizualne i teks</w:t>
            </w:r>
            <w:r w:rsidR="008F566A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ualne primjere polaznicima će biti </w:t>
            </w:r>
            <w:r w:rsidR="00FC7E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dani primjeri garancija za k</w:t>
            </w:r>
            <w:r w:rsidR="00B213D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v</w:t>
            </w:r>
            <w:r w:rsidR="00FC7E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alitetnu izvedbu kotla za biomas</w:t>
            </w:r>
            <w:r w:rsidR="003D300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u, izjava o sukladnosti materijala i opreme,</w:t>
            </w:r>
            <w:r w:rsidR="009B7A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</w:t>
            </w:r>
            <w:r w:rsidR="003D300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9B7A8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početnih ugovora. Polaznici će putem rada na tekstu i samostalnih aktivnosti </w:t>
            </w:r>
            <w:r w:rsidR="002563E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sami izraditi probne primjere ovih dokumenata koje će </w:t>
            </w:r>
            <w:r w:rsidR="00DD34F7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strukovni nastavnik/mentor</w:t>
            </w:r>
            <w:r w:rsidR="002563E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pregledati te prokomentirati, dajući savjete</w:t>
            </w:r>
            <w:r w:rsidR="0030339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</w:t>
            </w:r>
            <w:r w:rsidR="00054166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="0030339F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samim radnim situacijama, kada će se</w:t>
            </w:r>
            <w:r w:rsidR="004B38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sklapati početni ugovori te pisati </w:t>
            </w:r>
            <w:r w:rsidR="00D5273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garancije za kvalitetnu izvedbu te izjave o sukladnosti materijala, polaznici će sve te dokumente izrađivati u suradnji s </w:t>
            </w:r>
            <w:r w:rsidR="00C054F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mentorom, te komen</w:t>
            </w:r>
            <w:r w:rsidR="00B213D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</w:t>
            </w:r>
            <w:r w:rsidR="00C054F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irati njihovu važnost i primjenu.</w:t>
            </w:r>
            <w:r w:rsidR="0055157B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Nakon montaže i spajanja kotlova za biomasu analizirati će napravljen posao,</w:t>
            </w:r>
            <w:r w:rsidR="00083D09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komentirati što je napravljeno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kako bi montaža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spajanje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mogl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biti odrađen</w:t>
            </w:r>
            <w:r w:rsidR="000476F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043D8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učinkovitije, kvalitetnije, brže, uz manju potrošnju energenata ili materijala</w:t>
            </w:r>
            <w:r w:rsidR="003A57B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. Rezultate svoje analize će primjenjivati u kasnijim postupcima te analizirati </w:t>
            </w:r>
            <w:r w:rsidR="00C571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učinak.</w:t>
            </w:r>
          </w:p>
        </w:tc>
      </w:tr>
      <w:tr w:rsidR="00387882" w:rsidRPr="00C034C4" w14:paraId="33559172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61042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D8A69" w14:textId="213DA52D" w:rsidR="00885353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G</w:t>
            </w:r>
            <w:r w:rsidR="00885353" w:rsidRPr="00C034C4">
              <w:rPr>
                <w:sz w:val="20"/>
                <w:szCs w:val="20"/>
              </w:rPr>
              <w:t>arancija za kvalitetnu izvedbu kotla za biomasu</w:t>
            </w:r>
          </w:p>
          <w:p w14:paraId="6C18647D" w14:textId="0B14B783" w:rsidR="00885353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I</w:t>
            </w:r>
            <w:r w:rsidR="00885353" w:rsidRPr="00C034C4">
              <w:rPr>
                <w:sz w:val="20"/>
                <w:szCs w:val="20"/>
              </w:rPr>
              <w:t>zjava o sukladnosti materijala i opreme</w:t>
            </w:r>
          </w:p>
          <w:p w14:paraId="72AF29B2" w14:textId="77777777" w:rsidR="00F55534" w:rsidRPr="00C034C4" w:rsidRDefault="00143E85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Održavanje opreme</w:t>
            </w:r>
          </w:p>
          <w:p w14:paraId="4087C321" w14:textId="5323F880" w:rsidR="00387882" w:rsidRPr="00C034C4" w:rsidRDefault="00380781" w:rsidP="006838ED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C034C4">
              <w:rPr>
                <w:sz w:val="20"/>
                <w:szCs w:val="20"/>
              </w:rPr>
              <w:t>Samovrednovanje</w:t>
            </w:r>
            <w:r w:rsidR="00F55534" w:rsidRPr="00C034C4">
              <w:rPr>
                <w:sz w:val="20"/>
                <w:szCs w:val="20"/>
              </w:rPr>
              <w:t xml:space="preserve"> kvalitete</w:t>
            </w:r>
            <w:r w:rsidR="00A25C58" w:rsidRPr="00C034C4">
              <w:rPr>
                <w:sz w:val="20"/>
                <w:szCs w:val="20"/>
              </w:rPr>
              <w:t xml:space="preserve"> izvedbe posla</w:t>
            </w:r>
            <w:r w:rsidR="00885353" w:rsidRPr="00C034C4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387882" w:rsidRPr="00C034C4" w14:paraId="0DA3F2B2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B98EB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18E92ADF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E56FF" w14:textId="77777777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učenja provjeravaju se projektnim zadatkom, </w:t>
            </w:r>
            <w:r w:rsidRPr="002766C9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3A376EDE" w14:textId="77777777" w:rsidR="00833DD5" w:rsidRPr="00C034C4" w:rsidRDefault="00C70B8E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hr-HR"/>
              </w:rPr>
              <w:t xml:space="preserve">Projektni zadatak: </w:t>
            </w:r>
          </w:p>
          <w:p w14:paraId="189645F1" w14:textId="3D96EE80" w:rsidR="00B86E0A" w:rsidRPr="00C034C4" w:rsidRDefault="00833DD5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Ovaj projektni zadatak može se odraditi u sklopu projektnog zadatka iz SIU Montiranje i spajanje kotlova za biomasu. </w:t>
            </w:r>
            <w:r w:rsidR="00B86E0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</w:t>
            </w:r>
            <w:r w:rsidR="00FB5C1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ije montaže kotla za biomasu polaznik mora izraditi</w:t>
            </w:r>
            <w:r w:rsidR="00036B3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početni ugovor u kojem će između ostaloga biti jasno raspisana obveza </w:t>
            </w: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održavanja te opreme.</w:t>
            </w:r>
          </w:p>
          <w:p w14:paraId="20813C0B" w14:textId="55577E54" w:rsidR="00387882" w:rsidRPr="00C034C4" w:rsidRDefault="0014567F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Polaznik će </w:t>
            </w:r>
            <w:r w:rsidR="00C5710E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nakon montiranja i spajanja kotla za biomasu </w:t>
            </w:r>
            <w:r w:rsidR="00234808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izraditi garanciju za kvalitetnu izvedbu kotla za biomasu i izjavu o sukladnosti materijala i opreme, odrediti </w:t>
            </w:r>
            <w:r w:rsidR="0088535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intervale održavanja te odrediti koja su moguća </w:t>
            </w:r>
            <w:r w:rsidR="000205BA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poboljšanja</w:t>
            </w:r>
            <w:r w:rsidR="0088535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u izvedenom poslu koja bi podigla kvalitetu ili ekspeditivnost izvedbe posla.</w:t>
            </w:r>
          </w:p>
        </w:tc>
      </w:tr>
      <w:tr w:rsidR="00387882" w:rsidRPr="00C034C4" w14:paraId="5BA21601" w14:textId="77777777" w:rsidTr="00AB278B">
        <w:trPr>
          <w:trHeight w:val="43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1E5B51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32B9535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330D8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659C280C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292396DA" w14:textId="49115C0B" w:rsidR="009F5A5B" w:rsidRDefault="009F5A5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3A04F461" w14:textId="77777777" w:rsidR="009F5A5B" w:rsidRDefault="009F5A5B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  <w:br w:type="page"/>
      </w:r>
    </w:p>
    <w:p w14:paraId="5BF45FF0" w14:textId="77777777" w:rsidR="00387882" w:rsidRPr="00C034C4" w:rsidRDefault="0038788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87882" w:rsidRPr="00C034C4" w14:paraId="5B41BE86" w14:textId="77777777" w:rsidTr="00E466A5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84CFD0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22547D7" w14:textId="04F70F28" w:rsidR="00387882" w:rsidRPr="00C034C4" w:rsidRDefault="00B62BB3" w:rsidP="00E466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Rad na siguran način i zaštita okoliša</w:t>
            </w:r>
          </w:p>
        </w:tc>
      </w:tr>
      <w:tr w:rsidR="00387882" w:rsidRPr="00C034C4" w14:paraId="4B826A01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36F619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8BC146" w14:textId="77777777" w:rsidR="00387882" w:rsidRPr="00C034C4" w:rsidRDefault="00387882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387882" w:rsidRPr="00C034C4" w14:paraId="07977D2C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297E74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8E3C5A" w14:textId="43747A30" w:rsidR="00FF630F" w:rsidRPr="009F5A5B" w:rsidRDefault="009F5A5B" w:rsidP="009F5A5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905D1">
              <w:rPr>
                <w:rFonts w:cstheme="minorHAnsi"/>
                <w:sz w:val="20"/>
                <w:szCs w:val="20"/>
              </w:rPr>
              <w:t>SIU 4: Zaštita na radu, zaštita od požara i zaštita okoliša</w:t>
            </w:r>
          </w:p>
          <w:p w14:paraId="03E51D08" w14:textId="5069BF0A" w:rsidR="00387882" w:rsidRPr="00406FB1" w:rsidRDefault="001C1D84" w:rsidP="00FF630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29" w:history="1">
              <w:r w:rsidR="009A4B62" w:rsidRPr="00406FB1">
                <w:rPr>
                  <w:rStyle w:val="Hyperlink"/>
                  <w:sz w:val="20"/>
                  <w:szCs w:val="20"/>
                </w:rPr>
                <w:t>https://hko.srce.hr/registar/skup-ishoda-ucenja/detalji/8918</w:t>
              </w:r>
            </w:hyperlink>
            <w:r w:rsidR="009A4B62" w:rsidRPr="00406FB1">
              <w:rPr>
                <w:sz w:val="20"/>
                <w:szCs w:val="20"/>
              </w:rPr>
              <w:t xml:space="preserve"> </w:t>
            </w:r>
          </w:p>
        </w:tc>
      </w:tr>
      <w:tr w:rsidR="00387882" w:rsidRPr="00C034C4" w14:paraId="0FC69DD4" w14:textId="77777777" w:rsidTr="00E466A5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A9BC7A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FB076B3" w14:textId="714EC905" w:rsidR="00387882" w:rsidRPr="00C034C4" w:rsidRDefault="00B62BB3" w:rsidP="00E466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 CSVET</w:t>
            </w:r>
          </w:p>
        </w:tc>
      </w:tr>
      <w:tr w:rsidR="00387882" w:rsidRPr="00C034C4" w14:paraId="1419ABDC" w14:textId="77777777" w:rsidTr="00E466A5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1A1779A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762184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0F0A53C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AFFD84D" w14:textId="77777777" w:rsidR="00387882" w:rsidRPr="00C034C4" w:rsidRDefault="00387882" w:rsidP="00E466A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62BB3" w:rsidRPr="00C034C4" w14:paraId="2E71F072" w14:textId="77777777" w:rsidTr="00E466A5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E2DF01" w14:textId="77777777" w:rsidR="00B62BB3" w:rsidRPr="00C034C4" w:rsidRDefault="00B62BB3" w:rsidP="00B62BB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1591F92A" w14:textId="13FE0415" w:rsidR="00B62BB3" w:rsidRPr="00C034C4" w:rsidRDefault="009F5A5B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10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B62BB3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C1084E5" w14:textId="0A41E780" w:rsidR="00B62BB3" w:rsidRPr="00C034C4" w:rsidRDefault="009F5A5B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10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B62BB3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40C7075A" w14:textId="7B8DC4FC" w:rsidR="00B62BB3" w:rsidRPr="00C034C4" w:rsidRDefault="009F5A5B" w:rsidP="00D810F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 xml:space="preserve">5 sati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(</w:t>
            </w:r>
            <w:r w:rsidR="00B62BB3" w:rsidRPr="00C034C4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20%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)</w:t>
            </w:r>
          </w:p>
        </w:tc>
      </w:tr>
      <w:tr w:rsidR="00387882" w:rsidRPr="00C034C4" w14:paraId="51B2F8FA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221CB4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BB416B0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6D703A1" w14:textId="3AF583F4" w:rsidR="00387882" w:rsidRPr="00C034C4" w:rsidRDefault="003F7F2C" w:rsidP="00E466A5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FF3C5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bvezni</w:t>
            </w:r>
          </w:p>
        </w:tc>
      </w:tr>
      <w:tr w:rsidR="00387882" w:rsidRPr="00C034C4" w14:paraId="29CCD55B" w14:textId="77777777" w:rsidTr="00E466A5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065F38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906057" w14:textId="3E8F3268" w:rsidR="00387882" w:rsidRPr="00C034C4" w:rsidRDefault="00FF3C51" w:rsidP="003924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Cilj modula je 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usvojiti teorijska znanja i praktične vještine iz zaštite na radu</w:t>
            </w:r>
            <w:r w:rsidR="003478B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, zaštite od požara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3478BD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886213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zaštite okoliša </w:t>
            </w:r>
            <w:r w:rsidR="00532F12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neophodnih </w:t>
            </w:r>
            <w:r w:rsidR="00063C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 </w:t>
            </w:r>
            <w:r w:rsidR="00165285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izvođenju</w:t>
            </w:r>
            <w:r w:rsidR="00063C5C" w:rsidRPr="00C034C4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poslova montiranja i spajanja kotlova za biomasu.</w:t>
            </w:r>
          </w:p>
        </w:tc>
      </w:tr>
      <w:tr w:rsidR="00387882" w:rsidRPr="00C034C4" w14:paraId="2A8BCDF6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1BF2E" w14:textId="77777777" w:rsidR="00387882" w:rsidRPr="002766C9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12FD4A" w14:textId="613F9950" w:rsidR="00387882" w:rsidRPr="002766C9" w:rsidRDefault="0067116E" w:rsidP="006711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z</w:t>
            </w:r>
            <w:r w:rsidR="00532F12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ašti</w:t>
            </w:r>
            <w:r w:rsidR="005D64B1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t</w:t>
            </w:r>
            <w:r w:rsidR="00532F12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a na radu, zaštita od požara, razvrstavanje otpada, održivi razvoj, </w:t>
            </w:r>
            <w:r w:rsidR="005D64B1" w:rsidRPr="002766C9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recikliranje, skladištenje otpada</w:t>
            </w:r>
          </w:p>
        </w:tc>
      </w:tr>
      <w:tr w:rsidR="00387882" w:rsidRPr="00C034C4" w14:paraId="7C1668CC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69142F" w14:textId="77777777" w:rsidR="00387882" w:rsidRPr="002766C9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6456C6E" w14:textId="77777777" w:rsidR="002766C9" w:rsidRPr="002766C9" w:rsidRDefault="002766C9" w:rsidP="00052542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766C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005D7B2D" w14:textId="77777777" w:rsidR="002766C9" w:rsidRPr="002766C9" w:rsidRDefault="002766C9" w:rsidP="000525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120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66C9">
              <w:rPr>
                <w:rFonts w:cstheme="minorHAnsi"/>
                <w:iCs/>
                <w:noProof/>
                <w:sz w:val="20"/>
                <w:szCs w:val="20"/>
              </w:rPr>
              <w:t>rad na situacijskoj i problemskoj nastavi u specijaliziranim prostorima ustanove (simuliranim objektima)</w:t>
            </w:r>
          </w:p>
          <w:p w14:paraId="732259AF" w14:textId="77777777" w:rsidR="002766C9" w:rsidRPr="002766C9" w:rsidRDefault="002766C9" w:rsidP="001B16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2766C9">
              <w:rPr>
                <w:rFonts w:cstheme="minorHAnsi"/>
                <w:iCs/>
                <w:noProof/>
                <w:sz w:val="20"/>
                <w:szCs w:val="20"/>
              </w:rPr>
              <w:t>učenje na radnome mjestu gdje se polaznici postupno uvode u posao te u ograničenom obujmu sudjeluju u radnom procesu u kontroliranim uvjetima uz nadzor mentora.</w:t>
            </w:r>
          </w:p>
          <w:p w14:paraId="06AED462" w14:textId="2FFE563C" w:rsidR="002766C9" w:rsidRPr="002766C9" w:rsidRDefault="002766C9" w:rsidP="002766C9">
            <w:p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Polaznici će u radnim situacijama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primjenjivati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mjere zaštite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kako bi zaštitili sebe i druge.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raktično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prim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enj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at</w:t>
            </w:r>
            <w:r w:rsidR="00E632F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propise o zaštiti okoliša tako da će razvrstati otpad prema važećoj klasifikaciji te ga ispravno zbrinuti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uz nadzor </w:t>
            </w:r>
            <w:r w:rsidR="00E632F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mentora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387882" w:rsidRPr="00C034C4" w14:paraId="5D52B003" w14:textId="77777777" w:rsidTr="00E466A5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BF58F8" w14:textId="77777777" w:rsidR="00387882" w:rsidRPr="00C034C4" w:rsidRDefault="00387882" w:rsidP="00E466A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570888E" w14:textId="77777777" w:rsidR="00916BF8" w:rsidRPr="00DC598E" w:rsidRDefault="00916BF8" w:rsidP="00916BF8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C598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45515C67" w14:textId="59338155" w:rsidR="00387882" w:rsidRPr="005D3BA0" w:rsidRDefault="00916BF8" w:rsidP="00916BF8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DC598E">
              <w:rPr>
                <w:rFonts w:cstheme="minorHAnsi"/>
                <w:noProof/>
                <w:sz w:val="20"/>
                <w:szCs w:val="20"/>
                <w:lang w:val="hr-HR"/>
              </w:rPr>
              <w:t>Skripta za polaznike koju su izradili predavači.</w:t>
            </w:r>
          </w:p>
        </w:tc>
      </w:tr>
    </w:tbl>
    <w:p w14:paraId="48373FB3" w14:textId="77777777" w:rsidR="00387882" w:rsidRDefault="00387882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03E06CA8" w14:textId="77777777" w:rsidR="001E0F35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6502652F" w14:textId="1A7CF5BB" w:rsidR="008F2C67" w:rsidRDefault="008F2C67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br w:type="page"/>
      </w:r>
    </w:p>
    <w:p w14:paraId="46EBD4C9" w14:textId="77777777" w:rsidR="001E0F35" w:rsidRPr="00C034C4" w:rsidRDefault="001E0F35" w:rsidP="00387882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87882" w:rsidRPr="00C034C4" w14:paraId="410CF3C0" w14:textId="77777777" w:rsidTr="00E466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93A35A" w14:textId="01476683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CEE67B2" w14:textId="0A69458B" w:rsidR="00387882" w:rsidRPr="009F5A5B" w:rsidRDefault="00B62BB3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Zaštita na radu, zaštita od požar</w:t>
            </w:r>
            <w:r w:rsidR="005E31EE"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a i </w:t>
            </w:r>
            <w:r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zaštita okoliša</w:t>
            </w:r>
            <w:r w:rsidR="009F5A5B" w:rsidRPr="009F5A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, </w:t>
            </w:r>
            <w:r w:rsidR="009F5A5B" w:rsidRPr="009F5A5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 CSVET</w:t>
            </w:r>
          </w:p>
        </w:tc>
      </w:tr>
      <w:tr w:rsidR="00387882" w:rsidRPr="00C034C4" w14:paraId="17C9D0E2" w14:textId="77777777" w:rsidTr="00E466A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EFEFA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992B93" w:rsidRPr="00992B93" w14:paraId="567E5FF6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3FD05" w14:textId="591D9BEC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Razlikovati mjere zaštite na radu i zaštite od požara prema određenim tehnološkim procesima.</w:t>
            </w:r>
          </w:p>
        </w:tc>
      </w:tr>
      <w:tr w:rsidR="00992B93" w:rsidRPr="00992B93" w14:paraId="762BFAFF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DA766" w14:textId="302E0438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Opisati postupke u slučaju požara</w:t>
            </w:r>
          </w:p>
        </w:tc>
      </w:tr>
      <w:tr w:rsidR="00992B93" w:rsidRPr="00992B93" w14:paraId="7D600CE5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E28CC" w14:textId="6E4E97A9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Opisati postupanja u slučaju nezgode na radu</w:t>
            </w:r>
          </w:p>
        </w:tc>
      </w:tr>
      <w:tr w:rsidR="00992B93" w:rsidRPr="00992B93" w14:paraId="7F330ABC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A3B55" w14:textId="4AEA4692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Prepoznati znakove sigurnosti u radnom prostoru</w:t>
            </w:r>
          </w:p>
        </w:tc>
      </w:tr>
      <w:tr w:rsidR="00992B93" w:rsidRPr="00992B93" w14:paraId="6247F5A6" w14:textId="77777777" w:rsidTr="009F5A5B"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29918" w14:textId="74647A6D" w:rsidR="00992B93" w:rsidRPr="006C6FD5" w:rsidRDefault="00992B93" w:rsidP="006C6FD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6C6FD5">
              <w:rPr>
                <w:rFonts w:cstheme="minorHAnsi"/>
                <w:bCs/>
                <w:sz w:val="20"/>
                <w:szCs w:val="20"/>
              </w:rPr>
              <w:t>Opisati važeće propise o zaštiti okoliša (razvrstavanje i zbrinjavanje otpada)</w:t>
            </w:r>
          </w:p>
        </w:tc>
      </w:tr>
      <w:tr w:rsidR="00387882" w:rsidRPr="00C034C4" w14:paraId="0B188A23" w14:textId="77777777" w:rsidTr="00E466A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2838D0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87882" w:rsidRPr="00C034C4" w14:paraId="65F8DE78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5AEDC8" w14:textId="5FF7B55B" w:rsidR="00AE2A2F" w:rsidRPr="00C034C4" w:rsidRDefault="00A81ABE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</w:t>
            </w:r>
            <w:r w:rsidR="00270A26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će putem predavačke nastav</w:t>
            </w:r>
            <w:r w:rsidR="00E74B6D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 </w:t>
            </w:r>
            <w:r w:rsidR="00230D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razumjeti razlike u mjerama zaštite </w:t>
            </w:r>
            <w:r w:rsidR="005D70A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 radu i zaštite od požara </w:t>
            </w:r>
            <w:r w:rsidR="00230D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ovisno o </w:t>
            </w:r>
            <w:r w:rsidR="00A90B3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postupcima koje rade tokom montiranja i spajanja kotlova za biomasu</w:t>
            </w:r>
            <w:r w:rsidR="006C793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 zatim će te postupke opisati i vježbati.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Putem predavačke nastave te s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amostalnim 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aktivnostima</w:t>
            </w:r>
            <w:r w:rsidR="000D5F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radom na tekstu </w:t>
            </w:r>
            <w:r w:rsidR="00C934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usvojiti će znanja o os</w:t>
            </w:r>
            <w:r w:rsidR="00B213D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C934EC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ovnim propisima o zaštiti okoliša</w:t>
            </w:r>
            <w:r w:rsidR="007713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te će iste komentirati </w:t>
            </w:r>
            <w:r w:rsidR="00160AE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 nastavnikom</w:t>
            </w:r>
            <w:r w:rsidR="007B7DD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47781CE2" w14:textId="4849C9C0" w:rsidR="00D07547" w:rsidRPr="00C034C4" w:rsidRDefault="00F66921" w:rsidP="002F34B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Mjere zaštite na radu</w:t>
            </w:r>
            <w:r w:rsidR="007B7DD3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 primjenjivati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radnim situacijama</w:t>
            </w:r>
            <w:r w:rsidR="00D075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kako bi zaštitili sebe i druge.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807C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</w:t>
            </w:r>
            <w:r w:rsidR="00BA4B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nici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će</w:t>
            </w:r>
            <w:r w:rsidR="00AF501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praktično prim</w:t>
            </w:r>
            <w:r w:rsidR="00BA4B0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</w:t>
            </w:r>
            <w:r w:rsidR="00AF5010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jeniti</w:t>
            </w:r>
            <w:r w:rsidR="00F677EA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propise o zaštiti okoliša tako da će razvrstati otpad prema važećoj klasifikaciji</w:t>
            </w:r>
            <w:r w:rsidR="0028345B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te ga ispravno zbrinuti. Sve što rade raditi će pod nadzorom uz </w:t>
            </w:r>
            <w:r w:rsidR="00E60952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objašnjavanje što rade, zašto to rade i na koji način to rade</w:t>
            </w:r>
            <w:r w:rsidR="00F57CA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387882" w:rsidRPr="00C034C4" w14:paraId="2EFEF397" w14:textId="77777777" w:rsidTr="00AB278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7B8FAB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4013" w14:textId="67911918" w:rsidR="00387882" w:rsidRPr="00C034C4" w:rsidRDefault="00196974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Mjere zaštite</w:t>
            </w:r>
            <w:r w:rsidR="00E956A1" w:rsidRPr="00C034C4">
              <w:rPr>
                <w:rFonts w:cstheme="minorHAnsi"/>
                <w:sz w:val="20"/>
                <w:szCs w:val="20"/>
              </w:rPr>
              <w:t xml:space="preserve"> na radu</w:t>
            </w:r>
          </w:p>
          <w:p w14:paraId="7D51721A" w14:textId="1CB04DD1" w:rsidR="00E956A1" w:rsidRPr="00C034C4" w:rsidRDefault="00E956A1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>Postupanje u slučaju požara</w:t>
            </w:r>
          </w:p>
          <w:p w14:paraId="00FE1882" w14:textId="3A380FC0" w:rsidR="00387882" w:rsidRPr="00C034C4" w:rsidRDefault="00E956A1" w:rsidP="00563DCD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034C4">
              <w:rPr>
                <w:rFonts w:cstheme="minorHAnsi"/>
                <w:sz w:val="20"/>
                <w:szCs w:val="20"/>
              </w:rPr>
              <w:t xml:space="preserve">Zaštita okoliša i </w:t>
            </w:r>
            <w:r w:rsidR="001D1A17" w:rsidRPr="00C034C4">
              <w:rPr>
                <w:rFonts w:cstheme="minorHAnsi"/>
                <w:sz w:val="20"/>
                <w:szCs w:val="20"/>
              </w:rPr>
              <w:t>zbrinjavanje otpada</w:t>
            </w:r>
          </w:p>
        </w:tc>
      </w:tr>
      <w:tr w:rsidR="00387882" w:rsidRPr="00C034C4" w14:paraId="27E5C4E6" w14:textId="77777777" w:rsidTr="00AB278B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D3C2D3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387882" w:rsidRPr="00C034C4" w14:paraId="7212C4AD" w14:textId="77777777" w:rsidTr="00E466A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1D4099" w14:textId="7C508CCB" w:rsidR="00935892" w:rsidRPr="001404FB" w:rsidRDefault="00935892" w:rsidP="0093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učenja provjeravaju se projektnim zadat</w:t>
            </w:r>
            <w:r w:rsid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ci</w:t>
            </w: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Pr="002766C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2766C9">
              <w:rPr>
                <w:sz w:val="20"/>
                <w:szCs w:val="20"/>
              </w:rPr>
              <w:t>vrednovanjem postupaka i rezultata rješavanja projektnih aktivnosti, a na temelju unaprijed definiranih elemenata</w:t>
            </w:r>
            <w:r w:rsidR="002766C9">
              <w:rPr>
                <w:sz w:val="20"/>
                <w:szCs w:val="20"/>
              </w:rPr>
              <w:t xml:space="preserve"> </w:t>
            </w:r>
            <w:r w:rsidRPr="002766C9">
              <w:rPr>
                <w:sz w:val="20"/>
                <w:szCs w:val="20"/>
              </w:rPr>
              <w:t>i kriterija vrednovanja (analitičke i holističke rubrike za vrednovanje).</w:t>
            </w:r>
          </w:p>
          <w:p w14:paraId="6F61EB45" w14:textId="670858CF" w:rsidR="00517BCF" w:rsidRPr="00C034C4" w:rsidRDefault="00BA01B4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Projektni zadatak</w:t>
            </w:r>
            <w:r w:rsidR="00ED7685"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prvo 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napisa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</w:t>
            </w:r>
            <w:r w:rsidR="000F19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preporuke</w:t>
            </w:r>
            <w:r w:rsidR="00D33A1E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rad na siguran način pri postavljanju kotla za biomasu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potom će n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avest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i 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demonstrirati postupke</w:t>
            </w:r>
            <w:r w:rsidR="000F19E5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E3789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gašenja požara ovisno o uzrocima i tipovima požara.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8F3F3D1" w14:textId="77777777" w:rsidR="00517BCF" w:rsidRPr="00C034C4" w:rsidRDefault="00517BCF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10A4556" w14:textId="6C76BC9C" w:rsidR="00387882" w:rsidRPr="00C034C4" w:rsidRDefault="00ED7685" w:rsidP="008A76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Projektni zadatak 2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N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konkretnom otpadu nastalom pri ugradnji kotla za biomasu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će </w:t>
            </w:r>
            <w:r w:rsidR="00E12047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razvrstati </w:t>
            </w:r>
            <w:r w:rsidR="0056199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otpad 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prema važećoj klasifikaciji </w:t>
            </w:r>
            <w:r w:rsidR="00561998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objasniti utjecaj tog otpada na okoliš</w:t>
            </w:r>
            <w:r w:rsidR="002979D4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Potom će o</w:t>
            </w:r>
            <w:r w:rsidR="006B78D1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sigurati da sav otpad bude ispravno zbr</w:t>
            </w:r>
            <w:r w:rsidR="00517BCF"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inut.</w:t>
            </w:r>
          </w:p>
        </w:tc>
      </w:tr>
      <w:tr w:rsidR="00387882" w:rsidRPr="00C034C4" w14:paraId="63E3F332" w14:textId="77777777" w:rsidTr="00AB278B">
        <w:trPr>
          <w:trHeight w:val="39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100D88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87882" w:rsidRPr="00C034C4" w14:paraId="7632D5FD" w14:textId="77777777" w:rsidTr="00E466A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F5A85F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C034C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(Izraditi način i primjer vrjednovanja skupa ishoda učenja za polaznike/osobe s invaliditetom ako je primjenjivo)</w:t>
            </w:r>
          </w:p>
          <w:p w14:paraId="7D490ADE" w14:textId="77777777" w:rsidR="00387882" w:rsidRPr="00C034C4" w:rsidRDefault="00387882" w:rsidP="00E4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0A9AD25C" w14:textId="017BA7C2" w:rsidR="00AB278B" w:rsidRDefault="00AB278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E294CFF" w14:textId="77777777" w:rsidR="00387882" w:rsidRDefault="00387882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2D30EF6" w14:textId="77777777" w:rsidR="00492061" w:rsidRDefault="00492061">
      <w:pPr>
        <w:spacing w:after="160" w:line="259" w:lineRule="auto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  <w:br w:type="page"/>
      </w:r>
    </w:p>
    <w:p w14:paraId="77448D7F" w14:textId="6517F306" w:rsidR="001E05A2" w:rsidRDefault="001E05A2" w:rsidP="001E05A2">
      <w:pPr>
        <w:tabs>
          <w:tab w:val="left" w:pos="720"/>
        </w:tabs>
        <w:autoSpaceDE w:val="0"/>
        <w:snapToGrid w:val="0"/>
        <w:spacing w:after="160" w:line="256" w:lineRule="auto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iCs/>
          <w:sz w:val="20"/>
          <w:szCs w:val="20"/>
          <w:lang w:val="hr-HR" w:eastAsia="en-US"/>
        </w:rPr>
        <w:lastRenderedPageBreak/>
        <w:t>*Napomena:</w:t>
      </w: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C034C4" w14:paraId="2B6BFADF" w14:textId="77777777" w:rsidTr="00E466A5">
        <w:tc>
          <w:tcPr>
            <w:tcW w:w="9485" w:type="dxa"/>
            <w:shd w:val="clear" w:color="auto" w:fill="auto"/>
            <w:vAlign w:val="center"/>
          </w:tcPr>
          <w:p w14:paraId="690CCEF2" w14:textId="6DFA4277" w:rsidR="004713DC" w:rsidRPr="00C034C4" w:rsidRDefault="004713DC" w:rsidP="00387882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  <w:tr w:rsidR="00387882" w:rsidRPr="00C034C4" w14:paraId="6328035B" w14:textId="77777777" w:rsidTr="00E466A5">
        <w:tc>
          <w:tcPr>
            <w:tcW w:w="9485" w:type="dxa"/>
            <w:shd w:val="clear" w:color="auto" w:fill="auto"/>
            <w:vAlign w:val="center"/>
          </w:tcPr>
          <w:p w14:paraId="4078537F" w14:textId="77777777" w:rsidR="00387882" w:rsidRPr="00C034C4" w:rsidRDefault="00387882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3516E023" w:rsidR="004713DC" w:rsidRPr="00C034C4" w:rsidRDefault="004713DC" w:rsidP="001E05A2">
      <w:pPr>
        <w:spacing w:after="160" w:line="259" w:lineRule="auto"/>
        <w:rPr>
          <w:rFonts w:asciiTheme="minorHAnsi" w:eastAsiaTheme="minorHAnsi" w:hAnsiTheme="minorHAnsi" w:cstheme="minorBidi"/>
          <w:b/>
          <w:sz w:val="20"/>
          <w:szCs w:val="20"/>
          <w:lang w:val="hr-HR" w:eastAsia="en-US"/>
        </w:rPr>
      </w:pPr>
      <w:r w:rsidRPr="00C034C4">
        <w:rPr>
          <w:rFonts w:asciiTheme="minorHAnsi" w:eastAsiaTheme="minorHAnsi" w:hAnsiTheme="minorHAnsi" w:cstheme="minorBidi"/>
          <w:b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C034C4" w14:paraId="68D8E251" w14:textId="77777777" w:rsidTr="00E466A5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  <w:tr w:rsidR="004713DC" w:rsidRPr="00C034C4" w14:paraId="5E54E6EE" w14:textId="77777777" w:rsidTr="00E466A5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  <w:tr w:rsidR="004713DC" w:rsidRPr="00C034C4" w14:paraId="61F07FA7" w14:textId="77777777" w:rsidTr="00E466A5">
        <w:tc>
          <w:tcPr>
            <w:tcW w:w="4630" w:type="dxa"/>
            <w:hideMark/>
          </w:tcPr>
          <w:p w14:paraId="7A2C2F98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C034C4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C034C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C034C4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C034C4" w:rsidRDefault="008E10C2">
      <w:pPr>
        <w:rPr>
          <w:lang w:val="hr-HR"/>
        </w:rPr>
      </w:pPr>
    </w:p>
    <w:sectPr w:rsidR="008E10C2" w:rsidRPr="00C034C4" w:rsidSect="006915CD">
      <w:footerReference w:type="default" r:id="rId30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AB03" w14:textId="77777777" w:rsidR="001C1D84" w:rsidRDefault="001C1D84" w:rsidP="00C759FB">
      <w:pPr>
        <w:spacing w:after="0" w:line="240" w:lineRule="auto"/>
      </w:pPr>
      <w:r>
        <w:separator/>
      </w:r>
    </w:p>
  </w:endnote>
  <w:endnote w:type="continuationSeparator" w:id="0">
    <w:p w14:paraId="4C5638E1" w14:textId="77777777" w:rsidR="001C1D84" w:rsidRDefault="001C1D84" w:rsidP="00C759FB">
      <w:pPr>
        <w:spacing w:after="0" w:line="240" w:lineRule="auto"/>
      </w:pPr>
      <w:r>
        <w:continuationSeparator/>
      </w:r>
    </w:p>
  </w:endnote>
  <w:endnote w:type="continuationNotice" w:id="1">
    <w:p w14:paraId="41DD389D" w14:textId="77777777" w:rsidR="001C1D84" w:rsidRDefault="001C1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990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B581B" w14:textId="0B264735" w:rsidR="006915CD" w:rsidRDefault="00691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771D38" w14:textId="77777777" w:rsidR="006915CD" w:rsidRDefault="0069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930CD" w14:textId="77777777" w:rsidR="001C1D84" w:rsidRDefault="001C1D84" w:rsidP="00C759FB">
      <w:pPr>
        <w:spacing w:after="0" w:line="240" w:lineRule="auto"/>
      </w:pPr>
      <w:r>
        <w:separator/>
      </w:r>
    </w:p>
  </w:footnote>
  <w:footnote w:type="continuationSeparator" w:id="0">
    <w:p w14:paraId="2FCCAF05" w14:textId="77777777" w:rsidR="001C1D84" w:rsidRDefault="001C1D84" w:rsidP="00C759FB">
      <w:pPr>
        <w:spacing w:after="0" w:line="240" w:lineRule="auto"/>
      </w:pPr>
      <w:r>
        <w:continuationSeparator/>
      </w:r>
    </w:p>
  </w:footnote>
  <w:footnote w:type="continuationNotice" w:id="1">
    <w:p w14:paraId="262B8371" w14:textId="77777777" w:rsidR="001C1D84" w:rsidRDefault="001C1D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C53"/>
    <w:multiLevelType w:val="hybridMultilevel"/>
    <w:tmpl w:val="E1DC5878"/>
    <w:lvl w:ilvl="0" w:tplc="D1F8A5D2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29F"/>
    <w:multiLevelType w:val="hybridMultilevel"/>
    <w:tmpl w:val="7E56300C"/>
    <w:lvl w:ilvl="0" w:tplc="8C88E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3FE24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C61"/>
    <w:multiLevelType w:val="hybridMultilevel"/>
    <w:tmpl w:val="4E36F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398"/>
    <w:multiLevelType w:val="hybridMultilevel"/>
    <w:tmpl w:val="D236E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3A28"/>
    <w:multiLevelType w:val="hybridMultilevel"/>
    <w:tmpl w:val="FF307786"/>
    <w:lvl w:ilvl="0" w:tplc="E97A82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284D"/>
    <w:multiLevelType w:val="hybridMultilevel"/>
    <w:tmpl w:val="3FE24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76E"/>
    <w:multiLevelType w:val="hybridMultilevel"/>
    <w:tmpl w:val="5AA03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22B5"/>
    <w:multiLevelType w:val="hybridMultilevel"/>
    <w:tmpl w:val="5F34B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1640"/>
    <w:multiLevelType w:val="hybridMultilevel"/>
    <w:tmpl w:val="AB06AA08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D7DE8"/>
    <w:multiLevelType w:val="hybridMultilevel"/>
    <w:tmpl w:val="035C1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74614"/>
    <w:multiLevelType w:val="hybridMultilevel"/>
    <w:tmpl w:val="83BC3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44A2F"/>
    <w:multiLevelType w:val="hybridMultilevel"/>
    <w:tmpl w:val="BC54893C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3FAE3DE">
      <w:numFmt w:val="bullet"/>
      <w:lvlText w:val="-"/>
      <w:lvlJc w:val="left"/>
      <w:pPr>
        <w:ind w:left="1439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5C142981"/>
    <w:multiLevelType w:val="hybridMultilevel"/>
    <w:tmpl w:val="7DCA0DC4"/>
    <w:lvl w:ilvl="0" w:tplc="8C88E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1CBE"/>
    <w:multiLevelType w:val="hybridMultilevel"/>
    <w:tmpl w:val="C27A6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F63D2"/>
    <w:multiLevelType w:val="hybridMultilevel"/>
    <w:tmpl w:val="C554C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ACB"/>
    <w:multiLevelType w:val="hybridMultilevel"/>
    <w:tmpl w:val="167621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12313"/>
    <w:rsid w:val="000205BA"/>
    <w:rsid w:val="0002224D"/>
    <w:rsid w:val="000316AB"/>
    <w:rsid w:val="00036B3C"/>
    <w:rsid w:val="00041979"/>
    <w:rsid w:val="00043D88"/>
    <w:rsid w:val="00043E40"/>
    <w:rsid w:val="000451C0"/>
    <w:rsid w:val="000476F8"/>
    <w:rsid w:val="0005146D"/>
    <w:rsid w:val="00052542"/>
    <w:rsid w:val="00053330"/>
    <w:rsid w:val="00054166"/>
    <w:rsid w:val="000604F2"/>
    <w:rsid w:val="00063C5C"/>
    <w:rsid w:val="00083D09"/>
    <w:rsid w:val="000868F5"/>
    <w:rsid w:val="00093F73"/>
    <w:rsid w:val="000A15FC"/>
    <w:rsid w:val="000A2205"/>
    <w:rsid w:val="000A33D3"/>
    <w:rsid w:val="000B5E56"/>
    <w:rsid w:val="000B6751"/>
    <w:rsid w:val="000C5CF0"/>
    <w:rsid w:val="000D1680"/>
    <w:rsid w:val="000D5115"/>
    <w:rsid w:val="000D5FE5"/>
    <w:rsid w:val="000E149D"/>
    <w:rsid w:val="000E172E"/>
    <w:rsid w:val="000E18BF"/>
    <w:rsid w:val="000F19E5"/>
    <w:rsid w:val="000F2D36"/>
    <w:rsid w:val="000F5DD4"/>
    <w:rsid w:val="0011082B"/>
    <w:rsid w:val="00110D57"/>
    <w:rsid w:val="001137B0"/>
    <w:rsid w:val="0012000D"/>
    <w:rsid w:val="00120FB3"/>
    <w:rsid w:val="00121783"/>
    <w:rsid w:val="00132592"/>
    <w:rsid w:val="0014064D"/>
    <w:rsid w:val="00140D5D"/>
    <w:rsid w:val="00143E85"/>
    <w:rsid w:val="0014567F"/>
    <w:rsid w:val="00146A13"/>
    <w:rsid w:val="001577E3"/>
    <w:rsid w:val="00160AE8"/>
    <w:rsid w:val="00164A00"/>
    <w:rsid w:val="00164E55"/>
    <w:rsid w:val="00165285"/>
    <w:rsid w:val="00173C95"/>
    <w:rsid w:val="00183E63"/>
    <w:rsid w:val="0018633C"/>
    <w:rsid w:val="00193465"/>
    <w:rsid w:val="00194034"/>
    <w:rsid w:val="001946E0"/>
    <w:rsid w:val="00196974"/>
    <w:rsid w:val="001A424F"/>
    <w:rsid w:val="001A5AB9"/>
    <w:rsid w:val="001A5BA3"/>
    <w:rsid w:val="001B0020"/>
    <w:rsid w:val="001B13EE"/>
    <w:rsid w:val="001B1663"/>
    <w:rsid w:val="001B7C83"/>
    <w:rsid w:val="001C138F"/>
    <w:rsid w:val="001C1D84"/>
    <w:rsid w:val="001D1A17"/>
    <w:rsid w:val="001D2C91"/>
    <w:rsid w:val="001D36C9"/>
    <w:rsid w:val="001E05A2"/>
    <w:rsid w:val="001E0F35"/>
    <w:rsid w:val="001E45A5"/>
    <w:rsid w:val="001E47DF"/>
    <w:rsid w:val="001E7224"/>
    <w:rsid w:val="001F0DFA"/>
    <w:rsid w:val="00205E30"/>
    <w:rsid w:val="00211998"/>
    <w:rsid w:val="002132BF"/>
    <w:rsid w:val="00217C2A"/>
    <w:rsid w:val="00222C20"/>
    <w:rsid w:val="002250FA"/>
    <w:rsid w:val="00225867"/>
    <w:rsid w:val="00225D54"/>
    <w:rsid w:val="00227B40"/>
    <w:rsid w:val="0023030B"/>
    <w:rsid w:val="00230D47"/>
    <w:rsid w:val="00231E54"/>
    <w:rsid w:val="00234808"/>
    <w:rsid w:val="00244727"/>
    <w:rsid w:val="002563EF"/>
    <w:rsid w:val="00260D8E"/>
    <w:rsid w:val="002650FE"/>
    <w:rsid w:val="0026713D"/>
    <w:rsid w:val="00270A26"/>
    <w:rsid w:val="002766C9"/>
    <w:rsid w:val="00280143"/>
    <w:rsid w:val="002805C7"/>
    <w:rsid w:val="0028345B"/>
    <w:rsid w:val="00284270"/>
    <w:rsid w:val="00295D9E"/>
    <w:rsid w:val="00297407"/>
    <w:rsid w:val="002979D4"/>
    <w:rsid w:val="002A00ED"/>
    <w:rsid w:val="002A0883"/>
    <w:rsid w:val="002A6345"/>
    <w:rsid w:val="002B1505"/>
    <w:rsid w:val="002B47A3"/>
    <w:rsid w:val="002C030A"/>
    <w:rsid w:val="002C4695"/>
    <w:rsid w:val="002C4F05"/>
    <w:rsid w:val="002D3AED"/>
    <w:rsid w:val="002D3DE5"/>
    <w:rsid w:val="002D4BDD"/>
    <w:rsid w:val="002D6827"/>
    <w:rsid w:val="002E3435"/>
    <w:rsid w:val="002F34B5"/>
    <w:rsid w:val="002F473C"/>
    <w:rsid w:val="002F5517"/>
    <w:rsid w:val="002F63E2"/>
    <w:rsid w:val="00301337"/>
    <w:rsid w:val="0030339F"/>
    <w:rsid w:val="00305CA9"/>
    <w:rsid w:val="00305FE6"/>
    <w:rsid w:val="003077E9"/>
    <w:rsid w:val="0031350D"/>
    <w:rsid w:val="003147BA"/>
    <w:rsid w:val="0031488D"/>
    <w:rsid w:val="00324BF2"/>
    <w:rsid w:val="003325C4"/>
    <w:rsid w:val="003379D6"/>
    <w:rsid w:val="00343228"/>
    <w:rsid w:val="00344BE4"/>
    <w:rsid w:val="0034532F"/>
    <w:rsid w:val="00346D18"/>
    <w:rsid w:val="0034744D"/>
    <w:rsid w:val="003478BD"/>
    <w:rsid w:val="00350084"/>
    <w:rsid w:val="00362CD3"/>
    <w:rsid w:val="00364217"/>
    <w:rsid w:val="00366D86"/>
    <w:rsid w:val="003805CD"/>
    <w:rsid w:val="00380781"/>
    <w:rsid w:val="003821DD"/>
    <w:rsid w:val="0038324E"/>
    <w:rsid w:val="00387882"/>
    <w:rsid w:val="00387E0E"/>
    <w:rsid w:val="003924A9"/>
    <w:rsid w:val="0039762D"/>
    <w:rsid w:val="003A0367"/>
    <w:rsid w:val="003A17EE"/>
    <w:rsid w:val="003A32DF"/>
    <w:rsid w:val="003A57BC"/>
    <w:rsid w:val="003A7167"/>
    <w:rsid w:val="003B04F1"/>
    <w:rsid w:val="003B6152"/>
    <w:rsid w:val="003C1173"/>
    <w:rsid w:val="003D300D"/>
    <w:rsid w:val="003D47B7"/>
    <w:rsid w:val="003D634E"/>
    <w:rsid w:val="003E293F"/>
    <w:rsid w:val="003F7F2C"/>
    <w:rsid w:val="00400D0C"/>
    <w:rsid w:val="0040677E"/>
    <w:rsid w:val="00406F9E"/>
    <w:rsid w:val="00406FB1"/>
    <w:rsid w:val="004129C1"/>
    <w:rsid w:val="004209FD"/>
    <w:rsid w:val="004278D9"/>
    <w:rsid w:val="00431CBA"/>
    <w:rsid w:val="00431E1D"/>
    <w:rsid w:val="00442203"/>
    <w:rsid w:val="00444293"/>
    <w:rsid w:val="00445D30"/>
    <w:rsid w:val="00454A49"/>
    <w:rsid w:val="00460640"/>
    <w:rsid w:val="00462B62"/>
    <w:rsid w:val="004669BB"/>
    <w:rsid w:val="004669DA"/>
    <w:rsid w:val="0046778A"/>
    <w:rsid w:val="00467C50"/>
    <w:rsid w:val="004713DC"/>
    <w:rsid w:val="00472FF8"/>
    <w:rsid w:val="00473C40"/>
    <w:rsid w:val="00476BC1"/>
    <w:rsid w:val="00484124"/>
    <w:rsid w:val="0048655F"/>
    <w:rsid w:val="00487212"/>
    <w:rsid w:val="00491C38"/>
    <w:rsid w:val="00492061"/>
    <w:rsid w:val="004930F9"/>
    <w:rsid w:val="00494BB9"/>
    <w:rsid w:val="00497025"/>
    <w:rsid w:val="004A6052"/>
    <w:rsid w:val="004B380E"/>
    <w:rsid w:val="004B3858"/>
    <w:rsid w:val="004C2EE8"/>
    <w:rsid w:val="004C49DF"/>
    <w:rsid w:val="004C4CF7"/>
    <w:rsid w:val="004D08AD"/>
    <w:rsid w:val="004D60BB"/>
    <w:rsid w:val="004E45DC"/>
    <w:rsid w:val="004F73F0"/>
    <w:rsid w:val="00503E63"/>
    <w:rsid w:val="00505DC2"/>
    <w:rsid w:val="00514496"/>
    <w:rsid w:val="00517BCF"/>
    <w:rsid w:val="00525D00"/>
    <w:rsid w:val="00532F12"/>
    <w:rsid w:val="0054017D"/>
    <w:rsid w:val="00542776"/>
    <w:rsid w:val="005433A2"/>
    <w:rsid w:val="005440D1"/>
    <w:rsid w:val="00544207"/>
    <w:rsid w:val="005447CE"/>
    <w:rsid w:val="0055157B"/>
    <w:rsid w:val="00557B1A"/>
    <w:rsid w:val="00561998"/>
    <w:rsid w:val="005629F3"/>
    <w:rsid w:val="00563588"/>
    <w:rsid w:val="00563B8C"/>
    <w:rsid w:val="00563DCD"/>
    <w:rsid w:val="005645CB"/>
    <w:rsid w:val="00575DD8"/>
    <w:rsid w:val="0057696C"/>
    <w:rsid w:val="00577959"/>
    <w:rsid w:val="0058002A"/>
    <w:rsid w:val="005839F8"/>
    <w:rsid w:val="0058658B"/>
    <w:rsid w:val="0059178F"/>
    <w:rsid w:val="00592571"/>
    <w:rsid w:val="005949DD"/>
    <w:rsid w:val="0059551A"/>
    <w:rsid w:val="00596650"/>
    <w:rsid w:val="00597AC6"/>
    <w:rsid w:val="005A40C4"/>
    <w:rsid w:val="005B654B"/>
    <w:rsid w:val="005B69C7"/>
    <w:rsid w:val="005D3BA0"/>
    <w:rsid w:val="005D43C2"/>
    <w:rsid w:val="005D5B7B"/>
    <w:rsid w:val="005D64B1"/>
    <w:rsid w:val="005D70AC"/>
    <w:rsid w:val="005E02B7"/>
    <w:rsid w:val="005E31EE"/>
    <w:rsid w:val="005E6DD3"/>
    <w:rsid w:val="005F08C8"/>
    <w:rsid w:val="005F2D34"/>
    <w:rsid w:val="005F633A"/>
    <w:rsid w:val="00600214"/>
    <w:rsid w:val="006034FE"/>
    <w:rsid w:val="006050E9"/>
    <w:rsid w:val="0061691C"/>
    <w:rsid w:val="00622674"/>
    <w:rsid w:val="00624293"/>
    <w:rsid w:val="0062759C"/>
    <w:rsid w:val="00630551"/>
    <w:rsid w:val="006338B9"/>
    <w:rsid w:val="006345F9"/>
    <w:rsid w:val="0063562D"/>
    <w:rsid w:val="00637BE4"/>
    <w:rsid w:val="006412E0"/>
    <w:rsid w:val="0064298C"/>
    <w:rsid w:val="006454A9"/>
    <w:rsid w:val="00646ABA"/>
    <w:rsid w:val="00646C03"/>
    <w:rsid w:val="006477BC"/>
    <w:rsid w:val="006526E5"/>
    <w:rsid w:val="006559CA"/>
    <w:rsid w:val="00657183"/>
    <w:rsid w:val="0066004D"/>
    <w:rsid w:val="0066310E"/>
    <w:rsid w:val="006652EC"/>
    <w:rsid w:val="00666CAE"/>
    <w:rsid w:val="006671A3"/>
    <w:rsid w:val="0067116E"/>
    <w:rsid w:val="00674BDA"/>
    <w:rsid w:val="00675A3D"/>
    <w:rsid w:val="006767CA"/>
    <w:rsid w:val="00676E11"/>
    <w:rsid w:val="006838ED"/>
    <w:rsid w:val="00690853"/>
    <w:rsid w:val="006915CD"/>
    <w:rsid w:val="00692AA7"/>
    <w:rsid w:val="006A1AF7"/>
    <w:rsid w:val="006A212C"/>
    <w:rsid w:val="006B163E"/>
    <w:rsid w:val="006B1FA6"/>
    <w:rsid w:val="006B78D1"/>
    <w:rsid w:val="006C084C"/>
    <w:rsid w:val="006C17C9"/>
    <w:rsid w:val="006C4701"/>
    <w:rsid w:val="006C62FF"/>
    <w:rsid w:val="006C6FD5"/>
    <w:rsid w:val="006C793F"/>
    <w:rsid w:val="006E10B5"/>
    <w:rsid w:val="006E3552"/>
    <w:rsid w:val="006E75A9"/>
    <w:rsid w:val="006F1A92"/>
    <w:rsid w:val="006F410B"/>
    <w:rsid w:val="007005BC"/>
    <w:rsid w:val="00704979"/>
    <w:rsid w:val="007070C9"/>
    <w:rsid w:val="007102EB"/>
    <w:rsid w:val="00711556"/>
    <w:rsid w:val="0072307D"/>
    <w:rsid w:val="0072390E"/>
    <w:rsid w:val="00723AC9"/>
    <w:rsid w:val="00726512"/>
    <w:rsid w:val="007322A6"/>
    <w:rsid w:val="00736AC3"/>
    <w:rsid w:val="00745FEA"/>
    <w:rsid w:val="00746B3E"/>
    <w:rsid w:val="00751571"/>
    <w:rsid w:val="00753CB4"/>
    <w:rsid w:val="0075400B"/>
    <w:rsid w:val="007575A1"/>
    <w:rsid w:val="00760257"/>
    <w:rsid w:val="0076421D"/>
    <w:rsid w:val="00766D90"/>
    <w:rsid w:val="007676A4"/>
    <w:rsid w:val="0077107C"/>
    <w:rsid w:val="0077135B"/>
    <w:rsid w:val="007730EF"/>
    <w:rsid w:val="0077525D"/>
    <w:rsid w:val="00783C44"/>
    <w:rsid w:val="007919FF"/>
    <w:rsid w:val="00794F3F"/>
    <w:rsid w:val="007A4FCC"/>
    <w:rsid w:val="007A50A0"/>
    <w:rsid w:val="007B04E0"/>
    <w:rsid w:val="007B174D"/>
    <w:rsid w:val="007B70AF"/>
    <w:rsid w:val="007B7DD3"/>
    <w:rsid w:val="007C2B2D"/>
    <w:rsid w:val="007D48D3"/>
    <w:rsid w:val="007D6790"/>
    <w:rsid w:val="007E4DF3"/>
    <w:rsid w:val="007E586E"/>
    <w:rsid w:val="007F3A19"/>
    <w:rsid w:val="00812F3C"/>
    <w:rsid w:val="00821F98"/>
    <w:rsid w:val="00827455"/>
    <w:rsid w:val="008306B9"/>
    <w:rsid w:val="00833DD5"/>
    <w:rsid w:val="008365ED"/>
    <w:rsid w:val="008366FA"/>
    <w:rsid w:val="008367A4"/>
    <w:rsid w:val="00836DF3"/>
    <w:rsid w:val="00841C12"/>
    <w:rsid w:val="00844401"/>
    <w:rsid w:val="008520C7"/>
    <w:rsid w:val="00863604"/>
    <w:rsid w:val="008760EC"/>
    <w:rsid w:val="008807CF"/>
    <w:rsid w:val="0088320E"/>
    <w:rsid w:val="00885353"/>
    <w:rsid w:val="00886213"/>
    <w:rsid w:val="0088730D"/>
    <w:rsid w:val="00893E58"/>
    <w:rsid w:val="008A0831"/>
    <w:rsid w:val="008A3D9D"/>
    <w:rsid w:val="008A7600"/>
    <w:rsid w:val="008B44C5"/>
    <w:rsid w:val="008D2FD1"/>
    <w:rsid w:val="008D6BB2"/>
    <w:rsid w:val="008E0217"/>
    <w:rsid w:val="008E10C2"/>
    <w:rsid w:val="008E3789"/>
    <w:rsid w:val="008F2C67"/>
    <w:rsid w:val="008F566A"/>
    <w:rsid w:val="00901BE0"/>
    <w:rsid w:val="00913175"/>
    <w:rsid w:val="00916BF8"/>
    <w:rsid w:val="00931DA9"/>
    <w:rsid w:val="00935892"/>
    <w:rsid w:val="009469FC"/>
    <w:rsid w:val="00950627"/>
    <w:rsid w:val="00954888"/>
    <w:rsid w:val="009551AE"/>
    <w:rsid w:val="0095750E"/>
    <w:rsid w:val="00961E31"/>
    <w:rsid w:val="00970DDF"/>
    <w:rsid w:val="0097531F"/>
    <w:rsid w:val="009762D8"/>
    <w:rsid w:val="009826BD"/>
    <w:rsid w:val="00982DF1"/>
    <w:rsid w:val="009839FC"/>
    <w:rsid w:val="00992B93"/>
    <w:rsid w:val="009A4B62"/>
    <w:rsid w:val="009B03C3"/>
    <w:rsid w:val="009B7A8D"/>
    <w:rsid w:val="009C1B9C"/>
    <w:rsid w:val="009C2BE4"/>
    <w:rsid w:val="009C496D"/>
    <w:rsid w:val="009D2346"/>
    <w:rsid w:val="009E2A80"/>
    <w:rsid w:val="009F5A5B"/>
    <w:rsid w:val="00A10243"/>
    <w:rsid w:val="00A12DD9"/>
    <w:rsid w:val="00A14D41"/>
    <w:rsid w:val="00A25C58"/>
    <w:rsid w:val="00A2704D"/>
    <w:rsid w:val="00A27D94"/>
    <w:rsid w:val="00A50165"/>
    <w:rsid w:val="00A509EA"/>
    <w:rsid w:val="00A51AB2"/>
    <w:rsid w:val="00A521B0"/>
    <w:rsid w:val="00A53935"/>
    <w:rsid w:val="00A53AA6"/>
    <w:rsid w:val="00A55AAE"/>
    <w:rsid w:val="00A569F6"/>
    <w:rsid w:val="00A647F9"/>
    <w:rsid w:val="00A72D56"/>
    <w:rsid w:val="00A7310C"/>
    <w:rsid w:val="00A731D5"/>
    <w:rsid w:val="00A81875"/>
    <w:rsid w:val="00A81ABE"/>
    <w:rsid w:val="00A9047D"/>
    <w:rsid w:val="00A90AA7"/>
    <w:rsid w:val="00A90B39"/>
    <w:rsid w:val="00A915DF"/>
    <w:rsid w:val="00A96455"/>
    <w:rsid w:val="00AA088F"/>
    <w:rsid w:val="00AB0BFB"/>
    <w:rsid w:val="00AB278B"/>
    <w:rsid w:val="00AC1C76"/>
    <w:rsid w:val="00AD0E68"/>
    <w:rsid w:val="00AD2F06"/>
    <w:rsid w:val="00AE1513"/>
    <w:rsid w:val="00AE2246"/>
    <w:rsid w:val="00AE2A2F"/>
    <w:rsid w:val="00AE4955"/>
    <w:rsid w:val="00AF100A"/>
    <w:rsid w:val="00AF5010"/>
    <w:rsid w:val="00B115D5"/>
    <w:rsid w:val="00B120CB"/>
    <w:rsid w:val="00B213D2"/>
    <w:rsid w:val="00B307D0"/>
    <w:rsid w:val="00B42BF4"/>
    <w:rsid w:val="00B4428E"/>
    <w:rsid w:val="00B45F4F"/>
    <w:rsid w:val="00B47F93"/>
    <w:rsid w:val="00B506D4"/>
    <w:rsid w:val="00B52B2B"/>
    <w:rsid w:val="00B52E33"/>
    <w:rsid w:val="00B62BB3"/>
    <w:rsid w:val="00B64E76"/>
    <w:rsid w:val="00B8285A"/>
    <w:rsid w:val="00B8468C"/>
    <w:rsid w:val="00B86E0A"/>
    <w:rsid w:val="00B87685"/>
    <w:rsid w:val="00B93289"/>
    <w:rsid w:val="00B96576"/>
    <w:rsid w:val="00BA01B4"/>
    <w:rsid w:val="00BA1618"/>
    <w:rsid w:val="00BA1A9D"/>
    <w:rsid w:val="00BA4B05"/>
    <w:rsid w:val="00BA7FA1"/>
    <w:rsid w:val="00BB2699"/>
    <w:rsid w:val="00BB3022"/>
    <w:rsid w:val="00BB5477"/>
    <w:rsid w:val="00BB56F9"/>
    <w:rsid w:val="00BB7040"/>
    <w:rsid w:val="00BC30DC"/>
    <w:rsid w:val="00BC51FA"/>
    <w:rsid w:val="00BC5D3C"/>
    <w:rsid w:val="00BC67CE"/>
    <w:rsid w:val="00BD41BC"/>
    <w:rsid w:val="00BD79FE"/>
    <w:rsid w:val="00BE1C43"/>
    <w:rsid w:val="00BF4B26"/>
    <w:rsid w:val="00BF69FE"/>
    <w:rsid w:val="00C034C4"/>
    <w:rsid w:val="00C03FA7"/>
    <w:rsid w:val="00C054FC"/>
    <w:rsid w:val="00C1226B"/>
    <w:rsid w:val="00C20497"/>
    <w:rsid w:val="00C31DEF"/>
    <w:rsid w:val="00C43AC7"/>
    <w:rsid w:val="00C53B69"/>
    <w:rsid w:val="00C5710E"/>
    <w:rsid w:val="00C70B8E"/>
    <w:rsid w:val="00C739EF"/>
    <w:rsid w:val="00C742D7"/>
    <w:rsid w:val="00C74BBF"/>
    <w:rsid w:val="00C759FB"/>
    <w:rsid w:val="00C814F7"/>
    <w:rsid w:val="00C841C1"/>
    <w:rsid w:val="00C87FF4"/>
    <w:rsid w:val="00C934EC"/>
    <w:rsid w:val="00C966FB"/>
    <w:rsid w:val="00CA1243"/>
    <w:rsid w:val="00CA1A0E"/>
    <w:rsid w:val="00CB17FD"/>
    <w:rsid w:val="00CB1F9A"/>
    <w:rsid w:val="00CC423D"/>
    <w:rsid w:val="00CC5BD9"/>
    <w:rsid w:val="00CD39C5"/>
    <w:rsid w:val="00CD5903"/>
    <w:rsid w:val="00CF265C"/>
    <w:rsid w:val="00D03253"/>
    <w:rsid w:val="00D05A64"/>
    <w:rsid w:val="00D07547"/>
    <w:rsid w:val="00D131A6"/>
    <w:rsid w:val="00D31D71"/>
    <w:rsid w:val="00D33A1E"/>
    <w:rsid w:val="00D33EF4"/>
    <w:rsid w:val="00D34000"/>
    <w:rsid w:val="00D43F4E"/>
    <w:rsid w:val="00D52733"/>
    <w:rsid w:val="00D5645C"/>
    <w:rsid w:val="00D6103B"/>
    <w:rsid w:val="00D653A6"/>
    <w:rsid w:val="00D73A92"/>
    <w:rsid w:val="00D76187"/>
    <w:rsid w:val="00D810FC"/>
    <w:rsid w:val="00D907FF"/>
    <w:rsid w:val="00D932AD"/>
    <w:rsid w:val="00D9776A"/>
    <w:rsid w:val="00DA330D"/>
    <w:rsid w:val="00DB2487"/>
    <w:rsid w:val="00DB5F1D"/>
    <w:rsid w:val="00DC68EA"/>
    <w:rsid w:val="00DC7996"/>
    <w:rsid w:val="00DC7A96"/>
    <w:rsid w:val="00DD34F7"/>
    <w:rsid w:val="00DD6738"/>
    <w:rsid w:val="00DE5CCB"/>
    <w:rsid w:val="00DE672B"/>
    <w:rsid w:val="00DF0C64"/>
    <w:rsid w:val="00DF16DE"/>
    <w:rsid w:val="00DF316F"/>
    <w:rsid w:val="00DF51D0"/>
    <w:rsid w:val="00E00BF6"/>
    <w:rsid w:val="00E01451"/>
    <w:rsid w:val="00E12047"/>
    <w:rsid w:val="00E22F80"/>
    <w:rsid w:val="00E23367"/>
    <w:rsid w:val="00E27371"/>
    <w:rsid w:val="00E36B50"/>
    <w:rsid w:val="00E374BD"/>
    <w:rsid w:val="00E460DA"/>
    <w:rsid w:val="00E466A5"/>
    <w:rsid w:val="00E60952"/>
    <w:rsid w:val="00E615AC"/>
    <w:rsid w:val="00E632F3"/>
    <w:rsid w:val="00E67458"/>
    <w:rsid w:val="00E71388"/>
    <w:rsid w:val="00E74B6D"/>
    <w:rsid w:val="00E761D7"/>
    <w:rsid w:val="00E83EF5"/>
    <w:rsid w:val="00E956A1"/>
    <w:rsid w:val="00E97833"/>
    <w:rsid w:val="00EA5783"/>
    <w:rsid w:val="00EA7ADA"/>
    <w:rsid w:val="00EC0CF9"/>
    <w:rsid w:val="00EC1645"/>
    <w:rsid w:val="00EC4151"/>
    <w:rsid w:val="00EC77BD"/>
    <w:rsid w:val="00EC7812"/>
    <w:rsid w:val="00ED16DB"/>
    <w:rsid w:val="00ED3EB9"/>
    <w:rsid w:val="00ED63F7"/>
    <w:rsid w:val="00ED7685"/>
    <w:rsid w:val="00EF1866"/>
    <w:rsid w:val="00EF42E5"/>
    <w:rsid w:val="00EF7AD6"/>
    <w:rsid w:val="00F0527A"/>
    <w:rsid w:val="00F0784B"/>
    <w:rsid w:val="00F12447"/>
    <w:rsid w:val="00F31A23"/>
    <w:rsid w:val="00F352B1"/>
    <w:rsid w:val="00F35919"/>
    <w:rsid w:val="00F37EB6"/>
    <w:rsid w:val="00F435FD"/>
    <w:rsid w:val="00F509AC"/>
    <w:rsid w:val="00F51D6A"/>
    <w:rsid w:val="00F55534"/>
    <w:rsid w:val="00F5568B"/>
    <w:rsid w:val="00F57CA5"/>
    <w:rsid w:val="00F603D6"/>
    <w:rsid w:val="00F66181"/>
    <w:rsid w:val="00F66921"/>
    <w:rsid w:val="00F677EA"/>
    <w:rsid w:val="00F7395D"/>
    <w:rsid w:val="00F97F97"/>
    <w:rsid w:val="00FA1C26"/>
    <w:rsid w:val="00FB0D00"/>
    <w:rsid w:val="00FB10F4"/>
    <w:rsid w:val="00FB436C"/>
    <w:rsid w:val="00FB5C1E"/>
    <w:rsid w:val="00FC704E"/>
    <w:rsid w:val="00FC7E5C"/>
    <w:rsid w:val="00FE2DFE"/>
    <w:rsid w:val="00FF3C51"/>
    <w:rsid w:val="00FF4898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4E114043-C498-42A4-B4BF-7EBC03EA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7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08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8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2B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3B69"/>
    <w:pPr>
      <w:tabs>
        <w:tab w:val="center" w:pos="4513"/>
        <w:tab w:val="right" w:pos="9026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AD0E68"/>
    <w:rPr>
      <w:rFonts w:ascii="Calibri" w:eastAsia="Calibri" w:hAnsi="Calibri" w:cs="Calibri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C53B69"/>
    <w:pPr>
      <w:tabs>
        <w:tab w:val="center" w:pos="4513"/>
        <w:tab w:val="right" w:pos="9026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AD0E6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6E35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7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1A3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A3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pf0">
    <w:name w:val="pf0"/>
    <w:basedOn w:val="Normal"/>
    <w:rsid w:val="0036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f01">
    <w:name w:val="cf01"/>
    <w:basedOn w:val="DefaultParagraphFont"/>
    <w:rsid w:val="00364217"/>
    <w:rPr>
      <w:rFonts w:ascii="Segoe UI" w:hAnsi="Segoe UI" w:cs="Segoe UI" w:hint="default"/>
      <w:sz w:val="18"/>
      <w:szCs w:val="18"/>
    </w:rPr>
  </w:style>
  <w:style w:type="paragraph" w:customStyle="1" w:styleId="m6900949663817909533xmsonormal">
    <w:name w:val="m_6900949663817909533xmsonormal"/>
    <w:basedOn w:val="Normal"/>
    <w:rsid w:val="0069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4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3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222" TargetMode="External"/><Relationship Id="rId18" Type="http://schemas.openxmlformats.org/officeDocument/2006/relationships/hyperlink" Target="https://hko.srce.hr/registar/skup-ishoda-ucenja/detalji/2008" TargetMode="External"/><Relationship Id="rId26" Type="http://schemas.openxmlformats.org/officeDocument/2006/relationships/hyperlink" Target="https://hko.srce.hr/registar/skup-ishoda-ucenja/detalji/1536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536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20" TargetMode="External"/><Relationship Id="rId17" Type="http://schemas.openxmlformats.org/officeDocument/2006/relationships/hyperlink" Target="https://hko.srce.hr/registar/skup-ishoda-ucenja/detalji/15362" TargetMode="External"/><Relationship Id="rId25" Type="http://schemas.openxmlformats.org/officeDocument/2006/relationships/hyperlink" Target="https://mzom.gov.hr/UserDocsImages/dokumenti/Dokumenti-ZakonskiPodzakonski-Akti/Jedinstveni-popis-zdravstvenih-zahtjeva-potrebnih-za-upis-u-strukovne-kurikule-u-I-razred-srednje-skole-202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kvalifikacije/detalji/563" TargetMode="External"/><Relationship Id="rId20" Type="http://schemas.openxmlformats.org/officeDocument/2006/relationships/hyperlink" Target="https://hko.srce.hr/registar/skup-ishoda-ucenja/detalji/8918" TargetMode="External"/><Relationship Id="rId29" Type="http://schemas.openxmlformats.org/officeDocument/2006/relationships/hyperlink" Target="https://hko.srce.hr/registar/skup-ishoda-ucenja/detalji/891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19" TargetMode="External"/><Relationship Id="rId24" Type="http://schemas.openxmlformats.org/officeDocument/2006/relationships/hyperlink" Target="https://hko.srce.hr/registar/skup-ishoda-ucenja/detalji/2008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kompetencija/detalji/1224" TargetMode="External"/><Relationship Id="rId23" Type="http://schemas.openxmlformats.org/officeDocument/2006/relationships/hyperlink" Target="https://hko.srce.hr/registar/skup-ishoda-ucenja/detalji/8918" TargetMode="External"/><Relationship Id="rId28" Type="http://schemas.openxmlformats.org/officeDocument/2006/relationships/hyperlink" Target="https://hko.srce.hr/registar/skup-ishoda-ucenja/detalji/2010" TargetMode="Externa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hyperlink" Target="https://hko.srce.hr/registar/skup-ishoda-ucenja/detalji/2010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223" TargetMode="External"/><Relationship Id="rId22" Type="http://schemas.openxmlformats.org/officeDocument/2006/relationships/hyperlink" Target="https://hko.srce.hr/registar/skup-ishoda-ucenja/detalji/2010" TargetMode="External"/><Relationship Id="rId27" Type="http://schemas.openxmlformats.org/officeDocument/2006/relationships/hyperlink" Target="https://hko.srce.hr/registar/skup-ishoda-ucenja/detalji/200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DDF8F-6441-469F-9ED9-6D77BE907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F2119-1121-4246-B1D6-296A571E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C2B94-00C3-41A3-AD7E-6858742C92BF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4080</Words>
  <Characters>23258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27284</CharactersWithSpaces>
  <SharedDoc>false</SharedDoc>
  <HLinks>
    <vt:vector size="126" baseType="variant">
      <vt:variant>
        <vt:i4>4390912</vt:i4>
      </vt:variant>
      <vt:variant>
        <vt:i4>60</vt:i4>
      </vt:variant>
      <vt:variant>
        <vt:i4>0</vt:i4>
      </vt:variant>
      <vt:variant>
        <vt:i4>5</vt:i4>
      </vt:variant>
      <vt:variant>
        <vt:lpwstr>https://hko.srce.hr/registar/skup-ishoda-ucenja/detalji/1986</vt:lpwstr>
      </vt:variant>
      <vt:variant>
        <vt:lpwstr/>
      </vt:variant>
      <vt:variant>
        <vt:i4>4849675</vt:i4>
      </vt:variant>
      <vt:variant>
        <vt:i4>57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4063339</vt:i4>
      </vt:variant>
      <vt:variant>
        <vt:i4>54</vt:i4>
      </vt:variant>
      <vt:variant>
        <vt:i4>0</vt:i4>
      </vt:variant>
      <vt:variant>
        <vt:i4>5</vt:i4>
      </vt:variant>
      <vt:variant>
        <vt:lpwstr>https://hko.srce.hr/registar/skup-kompetencija/detalji/1224</vt:lpwstr>
      </vt:variant>
      <vt:variant>
        <vt:lpwstr/>
      </vt:variant>
      <vt:variant>
        <vt:i4>4063339</vt:i4>
      </vt:variant>
      <vt:variant>
        <vt:i4>51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4063339</vt:i4>
      </vt:variant>
      <vt:variant>
        <vt:i4>48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45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4063339</vt:i4>
      </vt:variant>
      <vt:variant>
        <vt:i4>42</vt:i4>
      </vt:variant>
      <vt:variant>
        <vt:i4>0</vt:i4>
      </vt:variant>
      <vt:variant>
        <vt:i4>5</vt:i4>
      </vt:variant>
      <vt:variant>
        <vt:lpwstr>https://hko.srce.hr/registar/skup-kompetencija/detalji/1220</vt:lpwstr>
      </vt:variant>
      <vt:variant>
        <vt:lpwstr/>
      </vt:variant>
      <vt:variant>
        <vt:i4>3997803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4456459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https://hko.srce.hr/registar/skup-ishoda-ucenja/detalji/2008</vt:lpwstr>
      </vt:variant>
      <vt:variant>
        <vt:lpwstr/>
      </vt:variant>
      <vt:variant>
        <vt:i4>4980746</vt:i4>
      </vt:variant>
      <vt:variant>
        <vt:i4>33</vt:i4>
      </vt:variant>
      <vt:variant>
        <vt:i4>0</vt:i4>
      </vt:variant>
      <vt:variant>
        <vt:i4>5</vt:i4>
      </vt:variant>
      <vt:variant>
        <vt:lpwstr>https://hko.srce.hr/registar/skup-ishoda-ucenja/detalji/2010</vt:lpwstr>
      </vt:variant>
      <vt:variant>
        <vt:lpwstr/>
      </vt:variant>
      <vt:variant>
        <vt:i4>4849675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5111817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https://hko.srce.hr/registar/skup-ishoda-ucenja/detalji/2022</vt:lpwstr>
      </vt:variant>
      <vt:variant>
        <vt:lpwstr/>
      </vt:variant>
      <vt:variant>
        <vt:i4>4784139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https://hko.srce.hr/registar/skup-ishoda-ucenja/detalji/2005</vt:lpwstr>
      </vt:variant>
      <vt:variant>
        <vt:lpwstr/>
      </vt:variant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https://hko.srce.hr/registar/standard-kvalifikacije/detalji/65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https://hko.srce.hr/registar/skup-kompetencija/detalji/1224</vt:lpwstr>
      </vt:variant>
      <vt:variant>
        <vt:lpwstr/>
      </vt:variant>
      <vt:variant>
        <vt:i4>4063339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4063339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https://hko.srce.hr/registar/skup-kompetencija/detalji/1220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ASOO</dc:creator>
  <cp:keywords/>
  <dc:description/>
  <cp:lastModifiedBy>Student Dva</cp:lastModifiedBy>
  <cp:revision>2</cp:revision>
  <dcterms:created xsi:type="dcterms:W3CDTF">2025-05-14T08:01:00Z</dcterms:created>
  <dcterms:modified xsi:type="dcterms:W3CDTF">2025-05-14T08:01:00Z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