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8D3D" w14:textId="75B9D237" w:rsidR="00B34D01" w:rsidRPr="00191491" w:rsidRDefault="00B34D01" w:rsidP="00B34D01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597E2F0E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91491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58E01A61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860E377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803191C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E70896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F412BEC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6FB9EE5" w14:textId="77777777" w:rsidR="008778FA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6D0CAE79" w14:textId="77777777" w:rsidR="008778FA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123ED6E0" w14:textId="491A616B" w:rsidR="00B34D01" w:rsidRPr="001E71F4" w:rsidRDefault="001E71F4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E71F4">
        <w:rPr>
          <w:rFonts w:asciiTheme="minorHAnsi" w:hAnsiTheme="minorHAnsi" w:cstheme="minorHAnsi"/>
          <w:b/>
          <w:bCs/>
          <w:sz w:val="48"/>
          <w:szCs w:val="48"/>
          <w:lang w:val="hr-HR"/>
        </w:rPr>
        <w:t>i</w:t>
      </w:r>
      <w:r w:rsidR="00B34D01" w:rsidRPr="001E71F4">
        <w:rPr>
          <w:rFonts w:asciiTheme="minorHAnsi" w:hAnsiTheme="minorHAnsi" w:cstheme="minorHAnsi"/>
          <w:b/>
          <w:bCs/>
          <w:sz w:val="48"/>
          <w:szCs w:val="48"/>
          <w:lang w:val="hr-HR"/>
        </w:rPr>
        <w:t>zvođenje temeljnih tesarskih radova</w:t>
      </w:r>
    </w:p>
    <w:p w14:paraId="0FC6168F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D5C34DB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564854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59FF2F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9F9AB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CFF6D3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E0DD828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42A5611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34945B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72C3A28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BFD4DE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97BFDD7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C61D43" w14:textId="2B572E12" w:rsidR="00B34D01" w:rsidRPr="00191491" w:rsidRDefault="00B34D01" w:rsidP="00B34D01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191491">
        <w:rPr>
          <w:rFonts w:cstheme="minorHAnsi"/>
          <w:b/>
          <w:bCs/>
          <w:sz w:val="24"/>
          <w:szCs w:val="24"/>
        </w:rPr>
        <w:t xml:space="preserve">Mjesto, </w:t>
      </w:r>
      <w:r w:rsidR="00114009">
        <w:rPr>
          <w:rFonts w:cstheme="minorHAnsi"/>
          <w:b/>
          <w:bCs/>
          <w:sz w:val="24"/>
          <w:szCs w:val="24"/>
        </w:rPr>
        <w:t>datum</w:t>
      </w:r>
      <w:r w:rsidRPr="00191491">
        <w:rPr>
          <w:rFonts w:cstheme="minorHAnsi"/>
          <w:b/>
          <w:bCs/>
          <w:sz w:val="24"/>
          <w:szCs w:val="24"/>
        </w:rPr>
        <w:br w:type="page"/>
      </w:r>
    </w:p>
    <w:p w14:paraId="5F5D6C6E" w14:textId="77777777" w:rsidR="00B34D01" w:rsidRPr="0019149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508"/>
        <w:gridCol w:w="2501"/>
        <w:gridCol w:w="2897"/>
      </w:tblGrid>
      <w:tr w:rsidR="00B34D01" w:rsidRPr="00191491" w14:paraId="343B2B79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E1590AE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3C5C1916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B34D01" w:rsidRPr="00191491" w14:paraId="76BE9031" w14:textId="77777777" w:rsidTr="00F54F8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5CFF8990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524D3386" w14:textId="4DD7146C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</w:t>
            </w:r>
            <w:r w:rsidR="00471015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 i </w:t>
            </w: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B34D01" w:rsidRPr="00191491" w14:paraId="2279B720" w14:textId="77777777" w:rsidTr="00F54F86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07AE92F4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4F484486" w14:textId="411273AA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1" w:name="_GoBack"/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izvođenje temeljnih tesarskih radova</w:t>
            </w:r>
            <w:bookmarkEnd w:id="1"/>
          </w:p>
        </w:tc>
      </w:tr>
      <w:tr w:rsidR="00B34D01" w:rsidRPr="00191491" w14:paraId="441E77F5" w14:textId="77777777" w:rsidTr="00F54F8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273166D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430183C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B34D01" w:rsidRPr="00191491" w14:paraId="68684F2B" w14:textId="77777777" w:rsidTr="00F54F86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5FECDAC1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1C90F568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002361B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5D4364D4" w14:textId="77777777" w:rsidTr="00F54F8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04B20C7A" w14:textId="77777777" w:rsidR="00B34D01" w:rsidRPr="00191491" w:rsidRDefault="00B34D01" w:rsidP="00F54F86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955CBE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2613B63F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301D4CC4" w14:textId="77777777" w:rsidTr="00F54F86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D7FFFF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4342806B" w14:textId="064C7624" w:rsidR="008404AA" w:rsidRDefault="008404AA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1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Pr="00191491">
              <w:rPr>
                <w:sz w:val="20"/>
                <w:szCs w:val="20"/>
                <w:lang w:val="hr-HR"/>
              </w:rPr>
              <w:t>razina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6EAF42C1" w14:textId="122BA737" w:rsidR="00B34D01" w:rsidRPr="00191491" w:rsidRDefault="00B34D01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2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54A0E005" w14:textId="2727AE1F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3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3ABF0E09" w14:textId="64EEF799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4</w:t>
            </w:r>
            <w:r w:rsidRPr="00191491">
              <w:rPr>
                <w:sz w:val="20"/>
                <w:szCs w:val="20"/>
                <w:lang w:val="hr-HR"/>
              </w:rPr>
              <w:t xml:space="preserve">: Tehnologija izrade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328B9699" w14:textId="4BA15220" w:rsidR="00B34D01" w:rsidRPr="008404AA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977C0">
              <w:rPr>
                <w:sz w:val="20"/>
                <w:szCs w:val="20"/>
                <w:lang w:val="hr-HR"/>
              </w:rPr>
              <w:t>5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</w:tc>
      </w:tr>
      <w:tr w:rsidR="00B34D01" w:rsidRPr="00191491" w14:paraId="284490B6" w14:textId="77777777" w:rsidTr="00F54F86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6F16C53B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2118900" w14:textId="39A8E959" w:rsidR="00C03EC2" w:rsidRPr="00733B63" w:rsidRDefault="00C977C0" w:rsidP="008404AA">
            <w:pPr>
              <w:spacing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8</w:t>
            </w:r>
            <w:r w:rsidR="00C03EC2" w:rsidRPr="00733B63">
              <w:rPr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  <w:p w14:paraId="784668FA" w14:textId="2490F888" w:rsidR="008404AA" w:rsidRPr="00191491" w:rsidRDefault="008404AA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1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  <w:r w:rsidR="00DD2AFF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DD2AFF">
              <w:rPr>
                <w:sz w:val="20"/>
                <w:szCs w:val="20"/>
                <w:lang w:val="hr-HR"/>
              </w:rPr>
              <w:t>)</w:t>
            </w:r>
          </w:p>
          <w:p w14:paraId="3199610F" w14:textId="028325E1" w:rsidR="00B34D01" w:rsidRPr="00191491" w:rsidRDefault="00B34D01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2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642D3C49" w14:textId="467E8BBF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3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366EB36E" w14:textId="1E3E81EA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4</w:t>
            </w:r>
            <w:r w:rsidRPr="00191491">
              <w:rPr>
                <w:sz w:val="20"/>
                <w:szCs w:val="20"/>
                <w:lang w:val="hr-HR"/>
              </w:rPr>
              <w:t xml:space="preserve">: Tehnologija izrade tesarskih vezova 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2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3C3DC1E7" w14:textId="37FE4B68" w:rsidR="001346C1" w:rsidRPr="00970F9B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5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3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</w:tc>
      </w:tr>
      <w:tr w:rsidR="00B34D01" w:rsidRPr="00191491" w14:paraId="19643D1A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9706F21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19149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34D01" w:rsidRPr="00191491" w14:paraId="6F29C578" w14:textId="77777777" w:rsidTr="00F54F8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588C871" w14:textId="1162CD81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B821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B821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5B7E6127" w14:textId="59A8EE1A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615E4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1A6207A9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3DCCA6DA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B34D01" w:rsidRPr="00191491" w14:paraId="40DD167C" w14:textId="77777777" w:rsidTr="00F54F86">
        <w:trPr>
          <w:trHeight w:val="490"/>
        </w:trPr>
        <w:tc>
          <w:tcPr>
            <w:tcW w:w="1384" w:type="pct"/>
            <w:vAlign w:val="center"/>
          </w:tcPr>
          <w:p w14:paraId="6E65FEA3" w14:textId="61E4C7AA" w:rsidR="00B34D01" w:rsidRPr="005D719A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DD2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Z </w:t>
            </w: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Tesar/ tesarica</w:t>
            </w:r>
          </w:p>
          <w:p w14:paraId="36568DF2" w14:textId="1B2BE6B5" w:rsidR="00B34D01" w:rsidRPr="00191491" w:rsidRDefault="006B2435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1" w:history="1">
              <w:r w:rsidR="00B34D01"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https://hko.srce.hr/registar/standard-zanimanja/detalji/238</w:t>
              </w:r>
            </w:hyperlink>
            <w:r w:rsidR="00B34D01"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35A4E4CA" w14:textId="77777777" w:rsidR="009B2281" w:rsidRPr="00191491" w:rsidRDefault="009B2281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55FF7092" w14:textId="4D8C7AE3" w:rsidR="009B2281" w:rsidRPr="00191491" w:rsidRDefault="007D0147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 w:rsidR="009B2281" w:rsidRPr="00191491">
              <w:rPr>
                <w:sz w:val="20"/>
                <w:szCs w:val="20"/>
                <w:lang w:val="hr-HR"/>
              </w:rPr>
              <w:t xml:space="preserve"> Izvođenje osnovnih tesarskih radova za izradu drvenih konstrukcija (krovišta, stubišta, međukatnih konstrukcija i sl.)</w:t>
            </w:r>
          </w:p>
          <w:p w14:paraId="22B0CB2B" w14:textId="74A0542D" w:rsidR="009B2281" w:rsidRPr="00191491" w:rsidRDefault="006B2435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2" w:history="1">
              <w:r w:rsidR="009B2281"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https://hko.srce.hr/registar/skup-kompetencija/detalji/2017</w:t>
              </w:r>
            </w:hyperlink>
            <w:r w:rsidR="009B2281"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7137EA44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23AA3F62" w14:textId="0DFE22B2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2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Organiziranje posla i izvršavanje pripremnih aktivnosti za početak tesarskih radova</w:t>
            </w:r>
          </w:p>
          <w:p w14:paraId="39A67737" w14:textId="7D37E605" w:rsidR="00815BDF" w:rsidRPr="00191491" w:rsidRDefault="006B2435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3" w:history="1">
              <w:r w:rsidR="00815BDF"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https://hko.srce.hr/registar/skup-kompetencija/detalji/2014</w:t>
              </w:r>
            </w:hyperlink>
            <w:r w:rsidR="00815BDF"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00918C6E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25AAA9F9" w14:textId="495FB2F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3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Primjenjivanje propisanih mjera za zaštitu zdravlja i zaštitu okoliša</w:t>
            </w:r>
          </w:p>
          <w:p w14:paraId="70997754" w14:textId="4FB60EED" w:rsidR="00815BDF" w:rsidRPr="00191491" w:rsidRDefault="006B2435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4" w:history="1">
              <w:r w:rsidR="00815BDF"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https://hko.srce.hr/registar/skup-kompetencija/detalji/2023</w:t>
              </w:r>
            </w:hyperlink>
            <w:r w:rsidR="00815BDF"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03DDC6FE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04A9DB1D" w14:textId="76553E48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4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Dnevno planiranje i organiziranje tesarskih radova</w:t>
            </w:r>
          </w:p>
          <w:p w14:paraId="33391B71" w14:textId="684317AD" w:rsidR="00B34D01" w:rsidRPr="00C977C0" w:rsidRDefault="006B2435" w:rsidP="00B162F0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5" w:history="1">
              <w:r w:rsidR="00815BDF"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https://hko.srce.hr/registar/skup-kompetencija/detalji/2015</w:t>
              </w:r>
            </w:hyperlink>
            <w:r w:rsidR="00815BDF" w:rsidRPr="00191491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54C6EA9D" w14:textId="1FB655AF" w:rsidR="004A2D87" w:rsidRPr="004A2D87" w:rsidRDefault="00B34D01" w:rsidP="004A2D8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</w:t>
            </w:r>
            <w:r w:rsidR="00DD2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 </w:t>
            </w:r>
            <w:r w:rsidR="004A2D87" w:rsidRPr="004A2D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Monter drvenih konstrukcija i krovova / Monterka drvenih konstrukcija i krovova (standard strukovnog dijela kvalifikacije)</w:t>
            </w:r>
          </w:p>
          <w:p w14:paraId="0E4E9FF6" w14:textId="6B39E228" w:rsidR="00B34D01" w:rsidRDefault="006B2435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3F15FD" w:rsidRPr="00954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https://hko.srce.hr/registar/standard-kvalifikacije/detalji/406</w:t>
              </w:r>
            </w:hyperlink>
          </w:p>
          <w:p w14:paraId="1D9FBB3C" w14:textId="77777777" w:rsidR="003F15FD" w:rsidRPr="00191491" w:rsidRDefault="003F15FD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E74FA0" w14:textId="055FED1B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1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</w:p>
          <w:p w14:paraId="4DF3D2C7" w14:textId="77777777" w:rsidR="00E03396" w:rsidRDefault="006B2435" w:rsidP="00E033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7" w:history="1">
              <w:r w:rsidR="00E03396" w:rsidRPr="00954123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55B62F50" w14:textId="77777777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55E67BA6" w14:textId="4941E4CE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2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</w:t>
            </w:r>
          </w:p>
          <w:p w14:paraId="09E9E012" w14:textId="6ACAD526" w:rsidR="00245278" w:rsidRDefault="006B2435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8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30999C22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062276EF" w14:textId="6C45C81D" w:rsidR="00245278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3</w:t>
            </w:r>
            <w:r w:rsidRPr="00191491">
              <w:rPr>
                <w:sz w:val="20"/>
                <w:szCs w:val="20"/>
                <w:lang w:val="hr-HR"/>
              </w:rPr>
              <w:t>: Tehnologija izrade tesarskih vezova</w:t>
            </w:r>
          </w:p>
          <w:p w14:paraId="79AD215D" w14:textId="5F96BF71" w:rsidR="00E03396" w:rsidRDefault="006B2435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9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0E61B844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50132B46" w14:textId="77777777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73396A51" w14:textId="0A6FF659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4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</w:p>
          <w:p w14:paraId="1B92F767" w14:textId="56A65582" w:rsidR="00245278" w:rsidRDefault="006B2435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0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609DBBAE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7CB087CE" w14:textId="7029E1CA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lastRenderedPageBreak/>
              <w:t>SIU 5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</w:p>
          <w:p w14:paraId="67222C9F" w14:textId="7E7A72E3" w:rsidR="00245278" w:rsidRDefault="006B2435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1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  <w:p w14:paraId="2374C91C" w14:textId="77777777" w:rsidR="00E03396" w:rsidRDefault="00E03396" w:rsidP="00F54F86">
            <w:pPr>
              <w:spacing w:before="60" w:after="60" w:line="240" w:lineRule="auto"/>
            </w:pPr>
          </w:p>
          <w:p w14:paraId="601FC3F5" w14:textId="69816C72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3DAD6A8A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554C4753" w14:textId="77777777" w:rsidTr="00F54F86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7CB4718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1744A1F" w14:textId="4CA69742" w:rsidR="003F15FD" w:rsidRPr="00D20E83" w:rsidRDefault="00397CB8" w:rsidP="00D20E8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397CB8">
              <w:rPr>
                <w:color w:val="000000"/>
                <w:sz w:val="20"/>
                <w:szCs w:val="20"/>
              </w:rPr>
              <w:t>posjedovanje cjelovite kvalifikacije na razini 1 HKO-a (završena osnovna škola)</w:t>
            </w:r>
          </w:p>
        </w:tc>
      </w:tr>
      <w:tr w:rsidR="00B34D01" w:rsidRPr="00191491" w14:paraId="55D04E85" w14:textId="77777777" w:rsidTr="00F54F86">
        <w:trPr>
          <w:trHeight w:val="3092"/>
        </w:trPr>
        <w:tc>
          <w:tcPr>
            <w:tcW w:w="1384" w:type="pct"/>
            <w:shd w:val="clear" w:color="auto" w:fill="B8CCE4"/>
            <w:hideMark/>
          </w:tcPr>
          <w:p w14:paraId="6A59209A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7844B1E6" w14:textId="2EA1CAAE" w:rsidR="00B34D01" w:rsidRPr="003F15FD" w:rsidRDefault="00B34D01" w:rsidP="005A58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3F15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Stečenih </w:t>
            </w:r>
            <w:r w:rsidR="00211B2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8</w:t>
            </w:r>
            <w:r w:rsidRPr="003F15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 bodova </w:t>
            </w:r>
          </w:p>
          <w:p w14:paraId="7E69AB5A" w14:textId="3D7767CB" w:rsidR="00B34D01" w:rsidRPr="00191491" w:rsidRDefault="00B34D01" w:rsidP="005A586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  <w:r w:rsidR="00862564" w:rsidRPr="00191491">
              <w:rPr>
                <w:sz w:val="20"/>
                <w:szCs w:val="20"/>
                <w:lang w:val="hr-HR"/>
              </w:rPr>
              <w:t>.</w:t>
            </w:r>
          </w:p>
          <w:p w14:paraId="36DFA3FE" w14:textId="77777777" w:rsidR="00B34D01" w:rsidRPr="00191491" w:rsidRDefault="00B34D01" w:rsidP="00F54F86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CA30A56" w14:textId="53788825" w:rsidR="00B34D01" w:rsidRPr="00191491" w:rsidRDefault="00B34D01" w:rsidP="00F54F86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Svakom polazniku nakon uspješno završene završne provjere izdaje se Uvjerenje o osposobljavanju za stjecanje mikrokvalifikacije izvođenje temeljnih tesarskih radova.</w:t>
            </w:r>
          </w:p>
        </w:tc>
      </w:tr>
      <w:tr w:rsidR="00B34D01" w:rsidRPr="00191491" w14:paraId="4A15A51F" w14:textId="77777777" w:rsidTr="00F54F86">
        <w:trPr>
          <w:trHeight w:val="732"/>
        </w:trPr>
        <w:tc>
          <w:tcPr>
            <w:tcW w:w="1384" w:type="pct"/>
            <w:shd w:val="clear" w:color="auto" w:fill="B8CCE4"/>
          </w:tcPr>
          <w:p w14:paraId="336136E2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3834B87" w14:textId="28F2BFC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mikrokvalifikacije i</w:t>
            </w:r>
            <w:r w:rsidRPr="00191491">
              <w:rPr>
                <w:sz w:val="20"/>
                <w:szCs w:val="20"/>
                <w:lang w:val="hr-HR"/>
              </w:rPr>
              <w:t>zvođenje temeljnih tesarskih radova</w:t>
            </w:r>
            <w:r w:rsidR="00862564" w:rsidRPr="00191491">
              <w:rPr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862564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211B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00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uz mogućnost izvođenja teorijskog dijela programa na daljinu u realnom vremenu.</w:t>
            </w:r>
          </w:p>
          <w:p w14:paraId="4EF54233" w14:textId="2F1C413B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8311A6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55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8311A6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105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FC2510" w:rsidRPr="00FC251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40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1F9754C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B34D01" w:rsidRPr="00191491" w14:paraId="476AE750" w14:textId="77777777" w:rsidTr="00F54F86">
        <w:trPr>
          <w:trHeight w:val="620"/>
        </w:trPr>
        <w:tc>
          <w:tcPr>
            <w:tcW w:w="1384" w:type="pct"/>
            <w:shd w:val="clear" w:color="auto" w:fill="B8CCE4"/>
          </w:tcPr>
          <w:p w14:paraId="3B6C7F29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4C572D1F" w14:textId="7A938882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B34D01" w:rsidRPr="00191491" w14:paraId="27095D45" w14:textId="77777777" w:rsidTr="00F54F86">
        <w:trPr>
          <w:trHeight w:val="557"/>
        </w:trPr>
        <w:tc>
          <w:tcPr>
            <w:tcW w:w="1384" w:type="pct"/>
            <w:shd w:val="clear" w:color="auto" w:fill="B8CCE4"/>
          </w:tcPr>
          <w:p w14:paraId="6B38B4DD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797F6317" w14:textId="08E8D126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B34D01" w:rsidRPr="00191491" w14:paraId="112A45E8" w14:textId="77777777" w:rsidTr="00F54F86">
        <w:trPr>
          <w:trHeight w:val="411"/>
        </w:trPr>
        <w:tc>
          <w:tcPr>
            <w:tcW w:w="1384" w:type="pct"/>
            <w:shd w:val="clear" w:color="auto" w:fill="B8CCE4"/>
            <w:hideMark/>
          </w:tcPr>
          <w:p w14:paraId="2D4BF9E8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D5A3AA9" w14:textId="6B550AFC" w:rsidR="00304214" w:rsidRDefault="00304214" w:rsidP="00E03396">
            <w:pPr>
              <w:spacing w:before="60" w:after="60" w:line="240" w:lineRule="auto"/>
              <w:jc w:val="both"/>
            </w:pPr>
            <w:r w:rsidRPr="000F77FB">
              <w:rPr>
                <w:sz w:val="20"/>
                <w:szCs w:val="20"/>
              </w:rPr>
              <w:t>Radionica s potrebnim alatom, ručnim strojevima i strojevima, građom za izvedbu drvenih konstrukcija</w:t>
            </w:r>
            <w:r w:rsidRPr="00304214">
              <w:t>.</w:t>
            </w:r>
          </w:p>
          <w:p w14:paraId="583D97C2" w14:textId="79D95BF6" w:rsidR="00E03396" w:rsidRDefault="006B2435" w:rsidP="00E033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="00304214" w:rsidRPr="00157FA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47858AA0" w14:textId="77777777" w:rsidR="00E03396" w:rsidRDefault="006B2435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3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28A28596" w14:textId="77777777" w:rsidR="00E03396" w:rsidRDefault="006B2435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4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6FE6AB37" w14:textId="77777777" w:rsidR="00E03396" w:rsidRDefault="006B2435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5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299606A6" w14:textId="77777777" w:rsidR="00862564" w:rsidRDefault="006B2435" w:rsidP="003F15FD">
            <w:pPr>
              <w:spacing w:after="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26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  <w:p w14:paraId="3A7758D2" w14:textId="77777777" w:rsidR="00D20E83" w:rsidRDefault="00D20E83" w:rsidP="00D20E8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lang w:val="hr-HR" w:eastAsia="hr-HR"/>
              </w:rPr>
            </w:pPr>
            <w:r>
              <w:rPr>
                <w:color w:val="222222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0F974A22" w14:textId="77777777" w:rsidR="00D20E83" w:rsidRDefault="00D20E83" w:rsidP="00D20E83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nemogućnost ili ograničenu </w:t>
            </w:r>
            <w:r>
              <w:rPr>
                <w:color w:val="222222"/>
                <w:sz w:val="20"/>
                <w:szCs w:val="20"/>
              </w:rPr>
              <w:lastRenderedPageBreak/>
              <w:t>mogućnost obrazovanja, zapošljavanja ili obavljanja radnih zadataka, odgovornost preuzima sam polaznik.</w:t>
            </w:r>
          </w:p>
          <w:p w14:paraId="3A03A5A9" w14:textId="77777777" w:rsidR="00D20E83" w:rsidRDefault="00D20E83" w:rsidP="00D20E83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38F71DC9" w14:textId="77777777" w:rsidR="00D20E83" w:rsidRDefault="00D20E83" w:rsidP="00D20E83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7B3E763E" w14:textId="77777777" w:rsidR="00D20E83" w:rsidRDefault="00D20E83" w:rsidP="00D20E83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Podloga za primjenu jedinstvenog popisa zdravstvenih zahtjeva potrebnih za upis u pojedinom zanimanju je dokument objavljen na mrežnim stranicama Ministarstva znanosti, obrazovanja i mladih </w:t>
            </w:r>
            <w:hyperlink r:id="rId27" w:tgtFrame="_blank" w:history="1">
              <w:r>
                <w:rPr>
                  <w:rStyle w:val="Hyperlink"/>
                  <w:i/>
                  <w:iCs/>
                  <w:color w:val="0563C1"/>
                  <w:sz w:val="20"/>
                  <w:szCs w:val="20"/>
                </w:rPr>
                <w:t>Jedinstveni popis zdravstvenih zahtjeva potrebnih za upis u strukovne kurikule u I. razred srednje škole</w:t>
              </w:r>
            </w:hyperlink>
            <w:r>
              <w:rPr>
                <w:color w:val="222222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4231F254" w14:textId="6CFBF556" w:rsidR="00D20E83" w:rsidRPr="00D20E83" w:rsidRDefault="00D20E83" w:rsidP="00D20E83">
            <w:pPr>
              <w:shd w:val="clear" w:color="auto" w:fill="FFFFFF"/>
              <w:spacing w:after="160" w:line="224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kurikule u I. razred srednje škole, polaznik je dužan dostaviti dokaz o zdravstvenoj sposobnosti.</w:t>
            </w:r>
          </w:p>
        </w:tc>
      </w:tr>
      <w:tr w:rsidR="00B34D01" w:rsidRPr="00191491" w14:paraId="300B3978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DC8810B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B34D01" w:rsidRPr="00191491" w14:paraId="39ACAC29" w14:textId="77777777" w:rsidTr="00F54F86">
        <w:trPr>
          <w:trHeight w:val="304"/>
        </w:trPr>
        <w:tc>
          <w:tcPr>
            <w:tcW w:w="5000" w:type="pct"/>
            <w:gridSpan w:val="4"/>
          </w:tcPr>
          <w:p w14:paraId="4A705481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 xml:space="preserve">Odabrati materijale i </w:t>
            </w:r>
            <w:r w:rsidRPr="00AA6396">
              <w:rPr>
                <w:rFonts w:cstheme="minorHAnsi"/>
                <w:noProof/>
                <w:sz w:val="20"/>
                <w:szCs w:val="20"/>
              </w:rPr>
              <w:t>alate za svaku fazu izrade drvene konstrukcije</w:t>
            </w:r>
          </w:p>
          <w:p w14:paraId="5266B686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49750E77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Poznavati svojstva materijala koja se koriste u tesarskoj struci</w:t>
            </w:r>
          </w:p>
          <w:p w14:paraId="2AB8D8A1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Nabaviti i dopremiti naručeni materijal na gradilište</w:t>
            </w:r>
          </w:p>
          <w:p w14:paraId="3943C475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Iscrtati i iskrojiti elemente drvene konstrukcije</w:t>
            </w:r>
          </w:p>
          <w:p w14:paraId="2862E9E0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Prikupljati i razvrstavati otpadni materijal na gradilištu i izvršiti njegovu predaju ovlaštenim tvrtkama za oporabu uz prilaganje pratećeg lista</w:t>
            </w:r>
          </w:p>
          <w:p w14:paraId="75B303B3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Poznavati pravila za rad na siguran način i za zaštitu okoliša uz razvijenu odgovornost za njihovu primjenu</w:t>
            </w:r>
          </w:p>
          <w:p w14:paraId="6FA1D53F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Primjenjivati propisane mjere za rad na siguran način i za zaštitu od požara</w:t>
            </w:r>
          </w:p>
          <w:p w14:paraId="2E7ECF65" w14:textId="77777777" w:rsidR="00DB484D" w:rsidRPr="000530CA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Racionalno koristiti materijalne</w:t>
            </w:r>
            <w:r w:rsidRPr="000530CA">
              <w:rPr>
                <w:rFonts w:cstheme="minorHAnsi"/>
                <w:noProof/>
                <w:sz w:val="20"/>
                <w:szCs w:val="20"/>
              </w:rPr>
              <w:t xml:space="preserve"> i energetske resurse s ciljem maksimalne iskoristivosti</w:t>
            </w:r>
          </w:p>
          <w:p w14:paraId="51E712C2" w14:textId="77777777" w:rsidR="00DB484D" w:rsidRPr="000530CA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>Odabrati i pripremiti alat za pojedine dionice posla na dnevnoj razini</w:t>
            </w:r>
          </w:p>
          <w:p w14:paraId="16BBB21C" w14:textId="6032291E" w:rsidR="00AA7CD1" w:rsidRPr="00DB484D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>Pripremiti</w:t>
            </w:r>
            <w:r w:rsidRPr="00E20455">
              <w:rPr>
                <w:rFonts w:cstheme="minorHAnsi"/>
                <w:noProof/>
                <w:sz w:val="20"/>
                <w:szCs w:val="20"/>
              </w:rPr>
              <w:t xml:space="preserve"> radne skele i osigurati funkcionalnost radnog mjesta</w:t>
            </w:r>
          </w:p>
        </w:tc>
      </w:tr>
      <w:tr w:rsidR="00B34D01" w:rsidRPr="00191491" w14:paraId="1D064A17" w14:textId="77777777" w:rsidTr="00F54F8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05563C5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6E147A5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1B865EEF" w14:textId="2D34E15E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0CF4B013" w14:textId="7F0F4DF1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21373B0" w14:textId="47AD0B1A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F49F5E9" w14:textId="546FA92A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provodi se analiza materijalnih i kadrovskih uvjeta potrebnih za izvođenje procesa učenja i poučavanja</w:t>
            </w:r>
          </w:p>
          <w:p w14:paraId="336BD6B8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4B1919F9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B34D01" w:rsidRPr="00191491" w14:paraId="5F50F548" w14:textId="77777777" w:rsidTr="00F54F86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155505A9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79C6EBCC" w14:textId="08DF443D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FDEB4E1" w14:textId="77777777" w:rsidR="00B34D01" w:rsidRPr="00191491" w:rsidRDefault="00B34D01" w:rsidP="00B34D01">
      <w:pPr>
        <w:pStyle w:val="ListParagraph"/>
        <w:ind w:left="0"/>
        <w:rPr>
          <w:rFonts w:cstheme="minorHAnsi"/>
          <w:b/>
          <w:bCs/>
          <w:noProof/>
          <w:sz w:val="24"/>
          <w:szCs w:val="24"/>
          <w:highlight w:val="yellow"/>
        </w:rPr>
      </w:pPr>
    </w:p>
    <w:p w14:paraId="5DCE00E4" w14:textId="77777777" w:rsidR="00B34D01" w:rsidRPr="00191491" w:rsidRDefault="00B34D01" w:rsidP="00B34D01">
      <w:pPr>
        <w:pStyle w:val="ListParagraph"/>
        <w:ind w:left="0"/>
        <w:rPr>
          <w:rFonts w:cstheme="minorHAnsi"/>
          <w:b/>
          <w:bCs/>
          <w:noProof/>
          <w:sz w:val="24"/>
          <w:szCs w:val="24"/>
          <w:highlight w:val="yellow"/>
        </w:rPr>
      </w:pPr>
    </w:p>
    <w:p w14:paraId="5EDCFDEF" w14:textId="00F27058" w:rsidR="00B34D01" w:rsidRPr="00191491" w:rsidRDefault="00B34D01" w:rsidP="00B34D01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highlight w:val="yellow"/>
          <w:lang w:val="hr-HR" w:eastAsia="en-US"/>
        </w:rPr>
      </w:pPr>
    </w:p>
    <w:p w14:paraId="1C80B9BB" w14:textId="77777777" w:rsidR="00B34D01" w:rsidRPr="0019149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616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992"/>
      </w:tblGrid>
      <w:tr w:rsidR="00B34D01" w:rsidRPr="00191491" w14:paraId="1EB86B47" w14:textId="77777777" w:rsidTr="00F54F86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620078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77B8C4A5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5CF1F8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6BB6CAB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F44B117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94A9873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DC72621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0E9C3A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78C278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6D614D3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DE9E33C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0BF1C95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B34D01" w:rsidRPr="00191491" w14:paraId="063BE9FA" w14:textId="77777777" w:rsidTr="00F54F86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3F852E5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890D557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7551C49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72AE067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EFBEFD" w14:textId="77777777" w:rsidR="00B34D01" w:rsidRPr="00191491" w:rsidRDefault="00B34D01" w:rsidP="00F54F86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27EB524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1F81FF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6EFF4B2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E8B0498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8404AA" w:rsidRPr="00191491" w14:paraId="73670852" w14:textId="77777777" w:rsidTr="00946D9B">
        <w:trPr>
          <w:trHeight w:val="66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8AEFFE" w14:textId="31BDB2B3" w:rsidR="008404AA" w:rsidRDefault="00C11248" w:rsidP="008404A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404AA"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5D875" w14:textId="6AC9FF48" w:rsidR="008404AA" w:rsidRPr="00191491" w:rsidRDefault="008404AA" w:rsidP="00DD724B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E0401" w14:textId="1CE08D4D" w:rsidR="008404AA" w:rsidRPr="00191491" w:rsidRDefault="008404AA" w:rsidP="00DD724B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C6BD0" w14:textId="6D998222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60CF0D" w14:textId="35225746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3D9F4" w14:textId="3A0EE0B3" w:rsidR="008404AA" w:rsidRPr="00191491" w:rsidRDefault="00FC759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FD09E8" w14:textId="0180D817" w:rsidR="008404AA" w:rsidRPr="00191491" w:rsidRDefault="00FC759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1DFD4" w14:textId="46EE9EA8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0A48AA0" w14:textId="617E82BE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233085F6" w14:textId="77777777" w:rsidTr="00F54F86">
        <w:trPr>
          <w:trHeight w:val="79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8BDC7C" w14:textId="30BE2F9A" w:rsidR="00B34D01" w:rsidRPr="00191491" w:rsidRDefault="008404AA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34D01"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  <w:p w14:paraId="67965185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2384E" w14:textId="6B5678F0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Izvođenje temeljnih tesarskih radova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6CBC6" w14:textId="54EED9C2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Alati i pribor za izradu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430B0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CADE7" w14:textId="1FF38845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821DA" w14:textId="4615338C" w:rsidR="00B34D01" w:rsidRPr="00191491" w:rsidRDefault="00433CC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27851A" w14:textId="39159298" w:rsidR="00B34D01" w:rsidRPr="00191491" w:rsidRDefault="00B8562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3CC0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A3FA3" w14:textId="430F5E86" w:rsidR="00B34D01" w:rsidRPr="00191491" w:rsidRDefault="00B8562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0D84089" w14:textId="302B194F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733A3412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8FFF11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38FAB5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6A8D3" w14:textId="055B670D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Vezna sredstva kod izrade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793E5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1B1F3" w14:textId="227B1E7D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4978F" w14:textId="5248AC94" w:rsidR="00B34D01" w:rsidRPr="00191491" w:rsidRDefault="00B873E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73272" w14:textId="3E7CF3CB" w:rsidR="00B34D01" w:rsidRPr="00191491" w:rsidRDefault="00CB7016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873E5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73606" w14:textId="776880D9" w:rsidR="00B34D01" w:rsidRPr="00191491" w:rsidRDefault="00CB7016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300729F" w14:textId="59DEB6D7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5ED7688D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EC8F8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BD531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E586B" w14:textId="27C86576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Tehnologija izrade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D2F3BE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DD6D0E" w14:textId="03E80E01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AD924C" w14:textId="030E691D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B4258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229C8" w14:textId="352184CB" w:rsidR="00B34D01" w:rsidRPr="00191491" w:rsidRDefault="00BB4258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98BAA" w14:textId="50FEF059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D8FC078" w14:textId="6BA8AA89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34D01" w:rsidRPr="00191491" w14:paraId="3FAAAFAF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8D2C277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7B0F86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F3550" w14:textId="5BA10025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Izvedba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D094B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A43CF" w14:textId="7B32E10E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83391" w14:textId="34576050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6253D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F1394" w14:textId="6D718C93" w:rsidR="00B34D01" w:rsidRPr="00191491" w:rsidRDefault="00A2071D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EB655" w14:textId="445E5155" w:rsidR="00B34D01" w:rsidRPr="00191491" w:rsidRDefault="005B6DE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CD5C31B" w14:textId="1952850F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862564" w:rsidRPr="00191491" w14:paraId="1E46938E" w14:textId="77777777" w:rsidTr="00F54F86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FA5B93" w14:textId="77777777" w:rsidR="00862564" w:rsidRPr="005561A8" w:rsidRDefault="00862564" w:rsidP="00DD724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97BD10" w14:textId="4A73085D" w:rsidR="00862564" w:rsidRPr="005561A8" w:rsidRDefault="001D4BC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3D0486" w14:textId="0A2005A8" w:rsidR="00862564" w:rsidRPr="005561A8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DF2F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E3873D" w14:textId="5F41374C" w:rsidR="00862564" w:rsidRPr="005561A8" w:rsidRDefault="008459C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A02F9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C7DA9F" w14:textId="71C73341" w:rsidR="00862564" w:rsidRPr="005561A8" w:rsidRDefault="00F41FDB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B54B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AC6BB" w14:textId="0B37D64B" w:rsidR="00862564" w:rsidRPr="005561A8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C5D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</w:tr>
    </w:tbl>
    <w:bookmarkEnd w:id="2"/>
    <w:p w14:paraId="14977B18" w14:textId="77777777" w:rsidR="00B34D01" w:rsidRPr="00191491" w:rsidRDefault="00B34D01" w:rsidP="00B34D01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1259F4AE" w14:textId="77777777" w:rsidR="00B34D01" w:rsidRPr="00191491" w:rsidRDefault="00B34D01" w:rsidP="00B34D01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00C6A17" w14:textId="0CBD7274" w:rsidR="00B34D01" w:rsidRPr="00191491" w:rsidRDefault="00B34D01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E71F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74EB4A6" w14:textId="77777777" w:rsidR="00B34D01" w:rsidRDefault="00B34D01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6262BCE" w14:textId="18FFDB02" w:rsidR="00141086" w:rsidRDefault="00141086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A818B75" w14:textId="46CFD607" w:rsidR="00D20E83" w:rsidRDefault="00D20E83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E52B22C" w14:textId="3589FD7A" w:rsidR="00D20E83" w:rsidRDefault="00D20E83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9CE13B4" w14:textId="77777777" w:rsidR="00D20E83" w:rsidRPr="00191491" w:rsidRDefault="00D20E83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174F1F0" w14:textId="77777777" w:rsidR="00B34D0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141086" w:rsidRPr="00191491" w14:paraId="62FAA533" w14:textId="77777777" w:rsidTr="00471EDA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4C407A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45243AB" w14:textId="5CA3BD50" w:rsidR="00141086" w:rsidRPr="00191491" w:rsidRDefault="00141086" w:rsidP="00471EDA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 u poslovima tehnike građenja</w:t>
            </w:r>
          </w:p>
        </w:tc>
      </w:tr>
      <w:tr w:rsidR="00141086" w:rsidRPr="00191491" w14:paraId="74FE89FD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A08A91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DF0ABE0" w14:textId="77777777" w:rsidR="00141086" w:rsidRPr="00191491" w:rsidRDefault="00141086" w:rsidP="00471EDA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141086" w:rsidRPr="00191491" w14:paraId="72832A62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00920A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093D5EF" w14:textId="3539885A" w:rsidR="003F15FD" w:rsidRPr="00CF5C47" w:rsidRDefault="006B2435" w:rsidP="00CF5C4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8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</w:tc>
      </w:tr>
      <w:tr w:rsidR="00141086" w:rsidRPr="00191491" w14:paraId="3F7902D1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DD57C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0F3AE78" w14:textId="14FC829F" w:rsidR="00141086" w:rsidRPr="00191491" w:rsidRDefault="00CF5C47" w:rsidP="00471EDA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141086"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141086" w:rsidRPr="00191491" w14:paraId="73530086" w14:textId="77777777" w:rsidTr="00471EDA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6DE1DF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27EE89A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9AE2573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8DF8DE3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41086" w:rsidRPr="00191491" w14:paraId="5892FD23" w14:textId="77777777" w:rsidTr="00471EDA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480452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2FDAB081" w14:textId="15A8B2CE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 sati (</w:t>
            </w:r>
            <w:r w:rsidR="001E238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73B22239" w14:textId="4C1D7EBE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 sati (</w:t>
            </w:r>
            <w:r w:rsidR="001E238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13D7CAFD" w14:textId="60D61265" w:rsidR="00141086" w:rsidRPr="00191491" w:rsidRDefault="00526B1D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141086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3A0EF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41086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</w:tr>
      <w:tr w:rsidR="00141086" w:rsidRPr="00191491" w14:paraId="341E669A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060E85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567BFE2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392A74" w14:textId="77777777" w:rsidR="00141086" w:rsidRPr="00191491" w:rsidRDefault="00141086" w:rsidP="00471ED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141086" w:rsidRPr="00191491" w14:paraId="42110A3D" w14:textId="77777777" w:rsidTr="00471EDA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530035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43BB810" w14:textId="7BA8D7C4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ovog modula je osposobiti polaznike za primjenu sustava zaštite na radu tijekom građenja, razlikovanje opasnosti i štetnosti za zdravlje ljudi, primjenu osobne zaštitne opreme i osnovnih postupaka prve pomoći u slučaju nezgoda na gradilištu. </w:t>
            </w:r>
          </w:p>
        </w:tc>
      </w:tr>
      <w:tr w:rsidR="00141086" w:rsidRPr="00191491" w14:paraId="7F461590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C2AA7E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1135F92" w14:textId="3B72BB23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pravila, obveze i odgovornosti poslodavaca i radnika u sustavu zaštite na radu, vrste opasnosti i štetnosti, postupci zaštite na radu, osobna zaštitna sredstva, oprema, prva pomoć</w:t>
            </w:r>
          </w:p>
        </w:tc>
      </w:tr>
      <w:tr w:rsidR="00141086" w:rsidRPr="00191491" w14:paraId="50CBE3E7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B637FD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8EB65B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0F6ABE8" w14:textId="77777777" w:rsidR="00141086" w:rsidRPr="00191491" w:rsidRDefault="00141086" w:rsidP="00471ED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222DBE06" w14:textId="77777777" w:rsidR="00141086" w:rsidRPr="00191491" w:rsidRDefault="00141086" w:rsidP="00471ED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 (prostorima poslodavaca ili regionalnim centrima kompetentnosti).</w:t>
            </w:r>
          </w:p>
          <w:p w14:paraId="4FDF9E62" w14:textId="77777777" w:rsidR="00141086" w:rsidRPr="00191491" w:rsidRDefault="00141086" w:rsidP="00471EDA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Polaznici se postupno uvode u posao te u ograničenom obujmu sudjeluju u radnom procesu u kontroliranim uvjetima uz mentora. </w:t>
            </w:r>
          </w:p>
        </w:tc>
      </w:tr>
      <w:tr w:rsidR="00141086" w:rsidRPr="00191491" w14:paraId="6607B220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F2E7A4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9AD466F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03D941C0" w14:textId="77777777" w:rsidR="00141086" w:rsidRDefault="00B015E4" w:rsidP="00471EDA">
            <w:pPr>
              <w:tabs>
                <w:tab w:val="left" w:pos="2820"/>
              </w:tabs>
              <w:spacing w:after="0"/>
              <w:rPr>
                <w:rStyle w:val="cf01"/>
              </w:rPr>
            </w:pPr>
            <w:r>
              <w:rPr>
                <w:rStyle w:val="cf01"/>
              </w:rPr>
              <w:t>Interna skripta ustanove.</w:t>
            </w:r>
          </w:p>
          <w:p w14:paraId="6773F194" w14:textId="46B8E8AE" w:rsidR="004409ED" w:rsidRPr="00191491" w:rsidRDefault="004409ED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09E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</w:t>
            </w:r>
          </w:p>
        </w:tc>
      </w:tr>
    </w:tbl>
    <w:p w14:paraId="50495D06" w14:textId="77777777" w:rsidR="00141086" w:rsidRPr="00191491" w:rsidRDefault="00141086" w:rsidP="00141086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141086" w:rsidRPr="00191491" w14:paraId="15BA75A1" w14:textId="77777777" w:rsidTr="00BE76F6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982A27F" w14:textId="4431C388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366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3A0AA85" w14:textId="50AD8321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61577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141086" w:rsidRPr="00191491" w14:paraId="71C5383C" w14:textId="77777777" w:rsidTr="00471ED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3F55A4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41086" w:rsidRPr="00191491" w14:paraId="3335F57F" w14:textId="77777777" w:rsidTr="00471ED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B56D3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Objasniti pravila, obveze i odgovornosti poslodavaca i radnika u sustavu zaštite na radu</w:t>
            </w:r>
          </w:p>
          <w:p w14:paraId="6C0EAE66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Razlikovati vrste opasnosti i štetnosti za čovjeka tijekom gradnje</w:t>
            </w:r>
          </w:p>
          <w:p w14:paraId="0A455F6B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postupke zaštite na radu tijekom gradnje</w:t>
            </w:r>
          </w:p>
          <w:p w14:paraId="226A2FC4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osobna zaštitna sredstva i opremu tijekom gradnje</w:t>
            </w:r>
          </w:p>
          <w:p w14:paraId="5EB725E7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Demonstrirati osnovne postupke pružanja prve pomoći</w:t>
            </w:r>
          </w:p>
        </w:tc>
      </w:tr>
      <w:tr w:rsidR="00141086" w:rsidRPr="00191491" w14:paraId="057FD89C" w14:textId="77777777" w:rsidTr="00471ED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17D62A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141086" w:rsidRPr="00191491" w14:paraId="5E0017B4" w14:textId="77777777" w:rsidTr="00471ED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96505D" w14:textId="77777777" w:rsidR="00B91430" w:rsidRPr="00B91430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za ovaj skup ishoda učenja je heuristička nastava. </w:t>
            </w:r>
          </w:p>
          <w:p w14:paraId="5A95AF70" w14:textId="77777777" w:rsidR="00B91430" w:rsidRPr="00B91430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početku nastavnik upoznaje polaznike s pravilima, obvezama i odgovornostima poslodavaca i radnika u sustavu zaštite na radu, vrstama opasnosti i štetnosti tijekom gradnje te postupcima zaštite na radu. Rasprave se provode kako bi se potaknula interakcija među polaznicima te kako bi se raspravljalo o primjeni teorije u stvarnim situacijama i rješavanju problema.</w:t>
            </w:r>
          </w:p>
          <w:p w14:paraId="4E8EF955" w14:textId="7788D1BB" w:rsidR="00141086" w:rsidRPr="00514386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Učenje temeljeno na radu obuhvaća primjenu teorijskih znanja u praksi, a fokus je na nabrojanim osobnim zaštitnim sredstvima i opremi tijekom gradnje te na demonstraciji osnovnih postupaka pružanja prve pomoći.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</w:t>
            </w:r>
            <w:r w:rsidR="00DC555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141086" w:rsidRPr="00191491" w14:paraId="515AFF32" w14:textId="77777777" w:rsidTr="00471ED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A4ED3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EC6D9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Pravila, obveze i odgovornosti poslodavaca i radnika u sustavu zaštite na radu</w:t>
            </w:r>
          </w:p>
          <w:p w14:paraId="0DAF56A4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opasnosti i štetnosti za čovjeka tijekom gradnje</w:t>
            </w:r>
          </w:p>
          <w:p w14:paraId="1A9B82F5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Postupci zaštite na radu tijekom gradnje</w:t>
            </w:r>
          </w:p>
          <w:p w14:paraId="5AFBBF61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Osobna zaštitna sredstva i oprema tijekom gradnje</w:t>
            </w:r>
          </w:p>
          <w:p w14:paraId="06E9C5EE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Pružanje prve pomoći tijekom građevinskih radova</w:t>
            </w:r>
          </w:p>
        </w:tc>
      </w:tr>
      <w:tr w:rsidR="00141086" w:rsidRPr="00191491" w14:paraId="47611996" w14:textId="77777777" w:rsidTr="00471ED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FD02CC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41086" w:rsidRPr="00191491" w14:paraId="6AAB9AAD" w14:textId="77777777" w:rsidTr="00471ED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1F6249" w14:textId="77777777" w:rsidR="00141086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707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160A7FB6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BD21FE4" w14:textId="4A70BB45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36504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</w:t>
            </w:r>
            <w:r w:rsidR="00E21C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</w:t>
            </w:r>
            <w:r w:rsidRPr="0036504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zadatka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 Polaznik će izraditi plan zaštite na radu za fiktivni građevinski projekt. Plan će uključivati identifikaciju potencijalnih opasnosti i štetnosti po radnike, određivanje mjera zaštite te nabavku odgovarajuće osobne zaštitne opreme i zaštitinih sredstava. Polaznik će predstaviti svoj plan pred ostalim polaznicima te argumentirati svoje odluke, koje moraju biti usklađene s pravilima, obvezama i odgovornosti poslodavca i radnika u sustavu zaštite na radu. Vrednovat će se kvaliteta plana te sposobnost polaznika da argumentirano objasni svoje odluke i pristup zaštiti na radu. Na kraju će polaznik na lutki pokazati osnovne postupke pružanja prve pomoći.</w:t>
            </w:r>
          </w:p>
          <w:p w14:paraId="371E3F33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141086" w:rsidRPr="00191491" w14:paraId="3303D307" w14:textId="77777777" w:rsidTr="00471E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E6B6B69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1A04537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141086" w:rsidRPr="00191491" w14:paraId="53B1267E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4C38D9C" w14:textId="77777777" w:rsidR="00141086" w:rsidRPr="00191491" w:rsidRDefault="00141086" w:rsidP="00471EDA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Identifikacija opasnosti i štetnosti</w:t>
                  </w:r>
                </w:p>
              </w:tc>
              <w:tc>
                <w:tcPr>
                  <w:tcW w:w="1417" w:type="dxa"/>
                </w:tcPr>
                <w:p w14:paraId="4D1C59E3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35</w:t>
                  </w:r>
                </w:p>
              </w:tc>
            </w:tr>
            <w:tr w:rsidR="00141086" w:rsidRPr="00191491" w14:paraId="26089974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E1E7F1F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Određivanje mjera zaštite i zaštitne opreme</w:t>
                  </w:r>
                </w:p>
              </w:tc>
              <w:tc>
                <w:tcPr>
                  <w:tcW w:w="1417" w:type="dxa"/>
                </w:tcPr>
                <w:p w14:paraId="02FFAFD1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35</w:t>
                  </w:r>
                </w:p>
              </w:tc>
            </w:tr>
            <w:tr w:rsidR="00141086" w:rsidRPr="00191491" w14:paraId="6DEC88BF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2F3B748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Argumentacija</w:t>
                  </w:r>
                </w:p>
              </w:tc>
              <w:tc>
                <w:tcPr>
                  <w:tcW w:w="1417" w:type="dxa"/>
                </w:tcPr>
                <w:p w14:paraId="4ACB2238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141086" w:rsidRPr="00191491" w14:paraId="4E0562BF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2646EF64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Usklađivanje s pravilima</w:t>
                  </w:r>
                </w:p>
              </w:tc>
              <w:tc>
                <w:tcPr>
                  <w:tcW w:w="1417" w:type="dxa"/>
                </w:tcPr>
                <w:p w14:paraId="0A5A874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41086" w:rsidRPr="00191491" w14:paraId="1D4C7505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FAA280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Demonstracija pružanja prve pomoći</w:t>
                  </w:r>
                </w:p>
              </w:tc>
              <w:tc>
                <w:tcPr>
                  <w:tcW w:w="1417" w:type="dxa"/>
                </w:tcPr>
                <w:p w14:paraId="7DCF85C9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</w:tbl>
          <w:p w14:paraId="1932042E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ED71781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0CAD6B96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0 do 75 boda ne zadovoljava.</w:t>
            </w:r>
          </w:p>
          <w:p w14:paraId="7405040C" w14:textId="77777777" w:rsidR="00141086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76 do 150 boda zadovoljava.</w:t>
            </w:r>
          </w:p>
          <w:p w14:paraId="7F794727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141086" w:rsidRPr="00191491" w14:paraId="1530DA05" w14:textId="77777777" w:rsidTr="00471ED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59D442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41086" w:rsidRPr="00191491" w14:paraId="0C187E2E" w14:textId="77777777" w:rsidTr="00471ED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28B6D4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AFAA1A8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2AD5D84" w14:textId="77777777" w:rsidR="00141086" w:rsidRPr="00191491" w:rsidRDefault="00141086" w:rsidP="00141086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9CA9B67" w14:textId="77777777" w:rsidR="00141086" w:rsidRDefault="00141086" w:rsidP="00141086">
      <w:pPr>
        <w:pStyle w:val="ListParagraph"/>
        <w:ind w:left="357"/>
        <w:rPr>
          <w:rFonts w:cstheme="minorHAnsi"/>
          <w:b/>
          <w:bCs/>
          <w:noProof/>
          <w:sz w:val="24"/>
          <w:szCs w:val="24"/>
        </w:rPr>
      </w:pPr>
    </w:p>
    <w:p w14:paraId="1E84A8DA" w14:textId="77777777" w:rsidR="007E544F" w:rsidRPr="00191491" w:rsidRDefault="007E544F" w:rsidP="00141086">
      <w:pPr>
        <w:pStyle w:val="ListParagraph"/>
        <w:ind w:left="357"/>
        <w:rPr>
          <w:rFonts w:cstheme="minorHAnsi"/>
          <w:b/>
          <w:bCs/>
          <w:noProof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862564" w:rsidRPr="00191491" w14:paraId="17A1E2B2" w14:textId="77777777" w:rsidTr="00F54F86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724F6A" w14:textId="77777777" w:rsidR="00862564" w:rsidRPr="00191491" w:rsidRDefault="00862564" w:rsidP="008625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9028937"/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25D7D6F" w14:textId="68818B9C" w:rsidR="00862564" w:rsidRPr="00191491" w:rsidRDefault="00862564" w:rsidP="00862564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Izvođenje temeljnih tesarskih radova</w:t>
            </w:r>
          </w:p>
        </w:tc>
      </w:tr>
      <w:tr w:rsidR="00B34D01" w:rsidRPr="00191491" w14:paraId="34272EBB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827233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F63D674" w14:textId="77777777" w:rsidR="00B34D01" w:rsidRPr="00191491" w:rsidRDefault="00B34D01" w:rsidP="00F54F86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B34D01" w:rsidRPr="00191491" w14:paraId="1C402E25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3888E2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B9F0DA0" w14:textId="601AF4F5" w:rsidR="002016F1" w:rsidRDefault="006B2435" w:rsidP="002016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9" w:history="1">
              <w:r w:rsidR="00E03396" w:rsidRPr="00954123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537F7D78" w14:textId="77777777" w:rsidR="00E03396" w:rsidRDefault="006B2435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30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40A34429" w14:textId="77777777" w:rsidR="00E03396" w:rsidRDefault="006B2435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31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2F41A1B9" w14:textId="77777777" w:rsidR="00E03396" w:rsidRDefault="006B2435" w:rsidP="00E03396">
            <w:pPr>
              <w:spacing w:after="0" w:line="240" w:lineRule="auto"/>
            </w:pPr>
            <w:hyperlink r:id="rId32" w:history="1">
              <w:r w:rsidR="00E03396"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39E834D9" w14:textId="18059533" w:rsidR="00C75C1D" w:rsidRPr="00E03396" w:rsidRDefault="00C75C1D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5B5A64">
              <w:rPr>
                <w:sz w:val="20"/>
                <w:szCs w:val="20"/>
                <w:lang w:val="hr-HR"/>
              </w:rPr>
              <w:lastRenderedPageBreak/>
              <w:t>Za realizaciju UTR-a najmanje razina 4.1 HKO-a s minimalnim radnim iskustvom od jedne godine na poslovima izvođenja te</w:t>
            </w:r>
            <w:r w:rsidR="00D14665" w:rsidRPr="005B5A64">
              <w:rPr>
                <w:sz w:val="20"/>
                <w:szCs w:val="20"/>
                <w:lang w:val="hr-HR"/>
              </w:rPr>
              <w:t>sarskih radova</w:t>
            </w:r>
          </w:p>
        </w:tc>
      </w:tr>
      <w:tr w:rsidR="00B34D01" w:rsidRPr="00191491" w14:paraId="139B1168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36F597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8788BE2" w14:textId="68EA2486" w:rsidR="00B34D01" w:rsidRPr="00191491" w:rsidRDefault="00862564" w:rsidP="00F54F86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34D01"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B34D01" w:rsidRPr="00191491" w14:paraId="5913DDFD" w14:textId="77777777" w:rsidTr="00F54F86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F76E04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54461E0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B6BA0B9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B01A497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34D01" w:rsidRPr="00191491" w14:paraId="6B0E669B" w14:textId="77777777" w:rsidTr="00F54F86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82865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4" w:name="_Hlk106011106"/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0772A3B4" w14:textId="27A62B41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A205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3FEF147" w14:textId="136CEC44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B70E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54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67B162B" w14:textId="1AE90940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B70E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4"/>
      <w:tr w:rsidR="00B34D01" w:rsidRPr="00191491" w14:paraId="40FA6E77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83333C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E514011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E1399A7" w14:textId="6FE77276" w:rsidR="00B34D01" w:rsidRPr="00191491" w:rsidRDefault="00B34D01" w:rsidP="00F54F8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34D01" w:rsidRPr="00191491" w14:paraId="3E5B64E5" w14:textId="77777777" w:rsidTr="00F54F86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6C9A0E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A8E596C" w14:textId="7D25A99C" w:rsidR="00620C8A" w:rsidRPr="00191491" w:rsidRDefault="00AA25BC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 omogućiti stjecanje 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o</w:t>
            </w:r>
            <w:r w:rsidR="007D349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izvođenju temeljnih tesarskih radova;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materijalima i alatima za izvođenje tesarskih vezova, 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njihovim svojstvima, pravilnom odabiru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dopremi na gradilište.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Kroz ovaj modul polaznici će steći vještine za izvedbu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temeljn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tesarsk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radov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siguran način.</w:t>
            </w:r>
          </w:p>
          <w:p w14:paraId="7F89ECB1" w14:textId="175C299B" w:rsidR="00620C8A" w:rsidRPr="00191491" w:rsidRDefault="00620C8A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Stečena teorijska znanja polaznici će</w:t>
            </w:r>
            <w:r w:rsidR="001F30D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za montiranje elemenata drvene konstrukcije učvršćivanjem na predviđeni način u skladu s projektom, crtanje radioničkog nacrta tesarskog veza i njegovim prikazivanjem u prostornoj projekciji, ali i izvođenjem određenih tesarskih vezova.</w:t>
            </w:r>
          </w:p>
          <w:p w14:paraId="2446774C" w14:textId="694A4E44" w:rsidR="00B34D01" w:rsidRPr="00191491" w:rsidRDefault="00620C8A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prikupljati i razvrstavati otpadni materijal na gradilištu i izvršiti njegovu predaju ovlaštenim tvrtkama za oporabu uz prilaganje pratećeg lista te poznavati pravila za rad na siguran način i za zaštitu okoliša uz razvijenu odgovornost za njihovu primjenu.</w:t>
            </w:r>
          </w:p>
        </w:tc>
      </w:tr>
      <w:tr w:rsidR="00B34D01" w:rsidRPr="00191491" w14:paraId="107CA55C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3A7E35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88901" w14:textId="2861E8E1" w:rsidR="00B34D01" w:rsidRPr="00191491" w:rsidRDefault="00A2161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radni alati, uređaji, pribor, </w:t>
            </w:r>
            <w:r w:rsidR="00806DE6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materijali, </w:t>
            </w: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tesarski vezovi</w:t>
            </w:r>
            <w:r w:rsidR="003C5423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mjere sigurnosti i zaštite na radu, </w:t>
            </w:r>
            <w:r w:rsidR="00FE0FCD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piljenje, blanjanje, otpadni materijali, </w:t>
            </w:r>
            <w:r w:rsidR="009A1E4D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vezna sredstva, drvene konstrukcije, ljepila</w:t>
            </w:r>
            <w:r w:rsidR="00EA10F8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radionički nacrt tesarskih vezova, prostorna projekcija</w:t>
            </w:r>
            <w:r w:rsidR="00806DE6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tesarski vez križanja i sudaranja</w:t>
            </w:r>
          </w:p>
        </w:tc>
      </w:tr>
      <w:tr w:rsidR="00755089" w:rsidRPr="00191491" w14:paraId="22D88F71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E08487" w14:textId="77777777" w:rsidR="00755089" w:rsidRPr="00191491" w:rsidRDefault="00755089" w:rsidP="00755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F92B82" w14:textId="77777777" w:rsidR="00755089" w:rsidRPr="00191491" w:rsidRDefault="00755089" w:rsidP="0075508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A06EA9F" w14:textId="77777777" w:rsidR="00755089" w:rsidRPr="00191491" w:rsidRDefault="00755089" w:rsidP="0075508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7663D224" w14:textId="6414B9C9" w:rsidR="00755089" w:rsidRPr="00191491" w:rsidRDefault="00755089" w:rsidP="00755089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 (prostorima poslodavaca</w:t>
            </w:r>
            <w:r w:rsidR="003149AC">
              <w:rPr>
                <w:rFonts w:cstheme="minorHAnsi"/>
                <w:iCs/>
                <w:noProof/>
                <w:sz w:val="20"/>
                <w:szCs w:val="20"/>
              </w:rPr>
              <w:t>, gradili</w:t>
            </w:r>
            <w:r w:rsidR="00002217">
              <w:rPr>
                <w:rFonts w:cstheme="minorHAnsi"/>
                <w:iCs/>
                <w:noProof/>
                <w:sz w:val="20"/>
                <w:szCs w:val="20"/>
              </w:rPr>
              <w:t>štima</w:t>
            </w: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 ili regionalnim centrima kompetentnosti).</w:t>
            </w:r>
          </w:p>
          <w:p w14:paraId="7848FB2B" w14:textId="6E819CFF" w:rsidR="00755089" w:rsidRPr="00191491" w:rsidRDefault="00755089" w:rsidP="0075508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  <w:highlight w:val="yellow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Polaznici se postupno uvode u posao te u ograničenom obujmu sudjeluju u radnom procesu u kontroliranim uvjetima uz mentora. </w:t>
            </w:r>
          </w:p>
        </w:tc>
      </w:tr>
      <w:tr w:rsidR="00B34D01" w:rsidRPr="00191491" w14:paraId="094DA28F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03AE67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4D4682C7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2513F292" w14:textId="5C8901A5" w:rsidR="00B34D01" w:rsidRPr="00191491" w:rsidRDefault="0014108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Style w:val="cf01"/>
              </w:rPr>
              <w:t>Interna skripta ustanove.</w:t>
            </w:r>
          </w:p>
        </w:tc>
      </w:tr>
      <w:bookmarkEnd w:id="3"/>
    </w:tbl>
    <w:p w14:paraId="0262016C" w14:textId="77777777" w:rsidR="00B34D01" w:rsidRPr="00191491" w:rsidRDefault="00B34D01" w:rsidP="00B34D01">
      <w:pPr>
        <w:spacing w:after="0"/>
        <w:rPr>
          <w:rFonts w:asciiTheme="minorHAnsi" w:hAnsiTheme="minorHAnsi" w:cstheme="minorHAnsi"/>
          <w:noProof/>
          <w:sz w:val="20"/>
          <w:szCs w:val="20"/>
          <w:highlight w:val="yellow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4D3473F2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4DD4BED" w14:textId="20BD4006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5" w:name="_Hlk106010165"/>
            <w:bookmarkStart w:id="6" w:name="_Hlk106011408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F72F1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8B685B6" w14:textId="687A3B76" w:rsidR="00B34D01" w:rsidRPr="00191491" w:rsidRDefault="00F6412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Alati i pribor za izradu tesarskih vezova</w:t>
            </w:r>
            <w:r w:rsidR="00F72F10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bookmarkEnd w:id="5"/>
      <w:tr w:rsidR="00B34D01" w:rsidRPr="00191491" w14:paraId="6867C8AC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50D77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333A33C2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57618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radne alate, uređaje i pribor za izvođenje tesarskih vezova</w:t>
            </w:r>
          </w:p>
          <w:p w14:paraId="49E7AD2B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Provjeriti ispravnost alata i uređaja za rad poštujući mjere sigurnosti i zaštite na radu</w:t>
            </w:r>
          </w:p>
          <w:p w14:paraId="730DB299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Demonstrirati način upotrebe alata, održavanje i oštrenje (piljenje, blanjanje itd.)</w:t>
            </w:r>
          </w:p>
          <w:p w14:paraId="6F232B1F" w14:textId="08FBD4F3" w:rsidR="00B34D01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Razlikovati opremu za zbrinjavanje otpadnih materijala u skladu s propisima</w:t>
            </w:r>
          </w:p>
        </w:tc>
      </w:tr>
      <w:tr w:rsidR="00B34D01" w:rsidRPr="00191491" w14:paraId="6B92EBB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E057B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bookmarkStart w:id="7" w:name="_Hlk92457663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7"/>
          </w:p>
        </w:tc>
      </w:tr>
      <w:tr w:rsidR="00B34D01" w:rsidRPr="00191491" w14:paraId="03EECF5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55F7B9" w14:textId="77777777" w:rsidR="009E75A5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nastavni sustav u skupu ishoda učenja</w:t>
            </w:r>
            <w:r w:rsidR="00280F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Alati i pribor za izradu tesarskih vezov</w:t>
            </w:r>
            <w:r w:rsidR="00280FA7"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22C3415E" w14:textId="42B5337F" w:rsidR="00762408" w:rsidRPr="00762408" w:rsidRDefault="009950D6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astavnik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početku 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upoznati polaznike s različitim vrstama radnih alata, uređaja i pribora potrebnih za izvođenje tesarskih veza, kao i s pravilima zbrinjavanja otpadnih materijala u skladu s propisima.</w:t>
            </w:r>
          </w:p>
          <w:p w14:paraId="602BCC58" w14:textId="4E0F9B52" w:rsidR="00762408" w:rsidRPr="00762408" w:rsidRDefault="0003565E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Nakon demonstracije </w:t>
            </w:r>
            <w:r w:rsidR="00215E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pojašnjenja nastavnika polaznici će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temeljeno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ra</w:t>
            </w:r>
            <w:r w:rsidR="008E16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du </w:t>
            </w:r>
            <w:r w:rsidR="001B21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</w:t>
            </w:r>
            <w:r w:rsidR="009615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prepoznati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koristiti radne alate, naučiti pravilno pregledavati, održavati i koristiti alate te prepoznati i riješiti eventualne probleme ili nedostatke.</w:t>
            </w:r>
          </w:p>
          <w:p w14:paraId="70E41E15" w14:textId="4E5E4D25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će </w:t>
            </w:r>
            <w:r w:rsidR="00BD55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također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demonstrirati način upotrebe alata te pravilan postupak održavanja, nakon čega će polaznici isprobati te tehnike pod nadzorom nastavnika. Tijekom nastave, polaznici će se upoznati s propisima i pravilima za zbrinjavanje otpadnih materijala, te naučiti razlikovati različitu opremu koja se koristi za zbrinjavanje otpada i pravilno postupati s otpadom u skladu s tim propisima.</w:t>
            </w:r>
          </w:p>
          <w:p w14:paraId="7A62F846" w14:textId="57D085B3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Prilikom </w:t>
            </w:r>
            <w:r w:rsidR="005235F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učenja temeljenog na radu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preporučuje se da se polaznici organiziraju u parove ili timove te im se dodijele specifične uloge unutar tima. Polaznici će postupno biti 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uključeni u aktivnosti u stvarnom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radno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okruženje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te im je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omogućeno sudjelovanje u radnom procesu pod nadzorom, sve dok ne steknu potpune kompetencije za samostalan rad.</w:t>
            </w:r>
          </w:p>
          <w:p w14:paraId="41DB7DF4" w14:textId="77777777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625670B" w14:textId="7D63CF14" w:rsidR="00B05464" w:rsidRPr="003F0BC3" w:rsidRDefault="00762408" w:rsidP="00637E6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uključivat će rješavanje zadanih projektnih zadataka primjenom stečenih znanja, kao i samostalno istraživanje literature, internetskih izvora i preporučenih publikacija kako bi proširili i produbili svoja znanja.</w:t>
            </w:r>
          </w:p>
        </w:tc>
      </w:tr>
      <w:tr w:rsidR="00B34D01" w:rsidRPr="00191491" w14:paraId="4A02BE9B" w14:textId="77777777" w:rsidTr="009E0074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94F4E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C2F72" w14:textId="46C32711" w:rsidR="00B34D01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Alati za izvođenje tesarskih vezova</w:t>
            </w:r>
          </w:p>
          <w:p w14:paraId="47BE8686" w14:textId="6EB092C2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Uređaji za izvođenje tesarskih vezova</w:t>
            </w:r>
          </w:p>
          <w:p w14:paraId="06FB024F" w14:textId="7CB70423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Pribor za izvođenje tesarskih vezova</w:t>
            </w:r>
          </w:p>
          <w:p w14:paraId="2DDA9B17" w14:textId="77777777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Provjera ispravnosti alata</w:t>
            </w:r>
          </w:p>
          <w:p w14:paraId="41DF1DA7" w14:textId="77777777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Demonstracija upotrebe alata</w:t>
            </w:r>
          </w:p>
          <w:p w14:paraId="7B676E63" w14:textId="2208CD92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Zbrinjavanje otpadnih materijala</w:t>
            </w:r>
          </w:p>
        </w:tc>
      </w:tr>
      <w:tr w:rsidR="00B34D01" w:rsidRPr="00191491" w14:paraId="36147B2B" w14:textId="77777777" w:rsidTr="009E00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716D9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1333A771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73173A" w14:textId="77777777" w:rsidR="00170998" w:rsidRDefault="00170998" w:rsidP="0017099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246A8C8D" w14:textId="77777777" w:rsidR="00243530" w:rsidRPr="00BC0FE1" w:rsidRDefault="00243530" w:rsidP="002435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69EC202" w14:textId="77777777" w:rsidR="00243530" w:rsidRDefault="00243530" w:rsidP="002435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65EE789D" w14:textId="77777777" w:rsidR="001B7193" w:rsidRPr="00191491" w:rsidRDefault="001B7193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5C06F50" w14:textId="637F2018" w:rsidR="00B34D01" w:rsidRPr="00A76757" w:rsidRDefault="0017099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zadatak:</w:t>
            </w:r>
            <w:r w:rsidR="00F64126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Majstoru je potrebno opremiti se svim potrebnim alatom i priborom iz velikog skladišta alata za izradu tesarskih veza. Polaznik će posjetiti skladište, prepoznati odgovarajući alat, provjeriti njegovu ispravnost, te demonstrirati upotrebu i održavanje alata. Također će </w:t>
            </w:r>
            <w:r w:rsidR="00316E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uočiti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razlike između </w:t>
            </w:r>
            <w:r w:rsidR="00CA662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pojedine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opreme za zbrinjavanje otpadnih materijala u skladu s važećim propisima.</w:t>
            </w:r>
            <w:r w:rsidR="00B34D0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                         </w:t>
            </w:r>
          </w:p>
          <w:p w14:paraId="6D2024B7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1F88A485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52D78E5" w14:textId="2E4BFAE7" w:rsidR="00B34D01" w:rsidRPr="008F6804" w:rsidRDefault="008F6804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8F6804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3C8398C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1604441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81C4BD2" w14:textId="05BFC30F" w:rsidR="00B34D01" w:rsidRPr="00191491" w:rsidRDefault="00FB0DBB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P</w:t>
                  </w:r>
                  <w:r w:rsidR="00F64126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repoznavanje odgovarajućeg alata</w:t>
                  </w:r>
                </w:p>
              </w:tc>
              <w:tc>
                <w:tcPr>
                  <w:tcW w:w="1417" w:type="dxa"/>
                </w:tcPr>
                <w:p w14:paraId="5095986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6765AC6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CB5FC2E" w14:textId="4E9C9B40" w:rsidR="00B34D01" w:rsidRPr="00191491" w:rsidRDefault="00FB0DB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Provjera </w:t>
                  </w:r>
                  <w:r w:rsidR="00F64126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ispravnosti alata</w:t>
                  </w:r>
                </w:p>
              </w:tc>
              <w:tc>
                <w:tcPr>
                  <w:tcW w:w="1417" w:type="dxa"/>
                </w:tcPr>
                <w:p w14:paraId="2C983CEA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686EC9A7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294E67B" w14:textId="3839DAD9" w:rsidR="00B34D01" w:rsidRPr="00191491" w:rsidRDefault="00FB0DB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Demonstracija upotrebe alata</w:t>
                  </w:r>
                </w:p>
              </w:tc>
              <w:tc>
                <w:tcPr>
                  <w:tcW w:w="1417" w:type="dxa"/>
                </w:tcPr>
                <w:p w14:paraId="655AD373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C07" w:rsidRPr="00191491" w14:paraId="6BB3F9B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293B95A" w14:textId="2E5812F8" w:rsidR="00656C07" w:rsidRDefault="00656C0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Održavanje alata</w:t>
                  </w:r>
                </w:p>
              </w:tc>
              <w:tc>
                <w:tcPr>
                  <w:tcW w:w="1417" w:type="dxa"/>
                </w:tcPr>
                <w:p w14:paraId="283A9D5E" w14:textId="3123441A" w:rsidR="00656C07" w:rsidRPr="00191491" w:rsidRDefault="00084A90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7FCADE0A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D3AF490" w14:textId="0090E7CF" w:rsidR="00B34D01" w:rsidRPr="00191491" w:rsidRDefault="00FF69F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Uočavanje r</w:t>
                  </w:r>
                  <w:r w:rsidR="00B5300E" w:rsidRPr="00B5300E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azlik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B5300E" w:rsidRPr="00B5300E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 u opremi za zbrinjavanje otpadnih materijala</w:t>
                  </w:r>
                </w:p>
              </w:tc>
              <w:tc>
                <w:tcPr>
                  <w:tcW w:w="1417" w:type="dxa"/>
                </w:tcPr>
                <w:p w14:paraId="59C543E7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1C0F9C24" w14:textId="1F6FC73F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66DDA959" w14:textId="77777777" w:rsidR="00F64126" w:rsidRPr="00191491" w:rsidRDefault="00F64126" w:rsidP="00F6412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60B6AEB8" w14:textId="0EDC5331" w:rsidR="00F64126" w:rsidRPr="00191491" w:rsidRDefault="00F64126" w:rsidP="00F6412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0C2EC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1DE5C7EE" w14:textId="1191F37F" w:rsidR="00FB3136" w:rsidRPr="001E71F4" w:rsidRDefault="00F64126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51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</w:p>
        </w:tc>
      </w:tr>
      <w:tr w:rsidR="00B34D01" w:rsidRPr="00191491" w14:paraId="2AAD1B80" w14:textId="77777777" w:rsidTr="0063693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AB537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34D01" w:rsidRPr="00191491" w14:paraId="2F626111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8E5777" w14:textId="77777777" w:rsidR="00B34D0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7E8F742" w14:textId="76CD4BE9" w:rsidR="00B9774D" w:rsidRPr="00027358" w:rsidRDefault="00B9774D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bookmarkEnd w:id="6"/>
    </w:tbl>
    <w:p w14:paraId="6C328497" w14:textId="41D6A6D3" w:rsidR="00B34D0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62CABC99" w14:textId="77777777" w:rsidR="00D20E83" w:rsidRPr="00191491" w:rsidRDefault="00D20E83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53CA585B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1596A1" w14:textId="07A9B514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E311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C408F67" w14:textId="1585090B" w:rsidR="00B34D01" w:rsidRPr="00191491" w:rsidRDefault="00F6412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Vezna sredstva kod izrade tesarskih vezova</w:t>
            </w:r>
            <w:r w:rsidR="00F72F10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tr w:rsidR="00B34D01" w:rsidRPr="00191491" w14:paraId="3683736F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AC714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687EBC01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4730F" w14:textId="1158F7DD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vrste i primjenu veznih sredstava kod drvenih konstrukcija</w:t>
            </w:r>
          </w:p>
          <w:p w14:paraId="392EC2B1" w14:textId="77777777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Razlikovati konstrukcije povezane čeličnim i drvenim veznim sredstvima</w:t>
            </w:r>
          </w:p>
          <w:p w14:paraId="79C9E629" w14:textId="77777777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Izračunati debljinu, dubinu i najpovoljniji raspored čavala u drvenom spoju</w:t>
            </w:r>
          </w:p>
          <w:p w14:paraId="3F422B2A" w14:textId="6F896FA6" w:rsidR="00B34D01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svojstva i upotrebu lijepila u drvenim konstrukcijama</w:t>
            </w:r>
          </w:p>
        </w:tc>
      </w:tr>
      <w:tr w:rsidR="00B34D01" w:rsidRPr="00191491" w14:paraId="3E154D5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FF52B8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4993A241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69ECA5" w14:textId="29B28AB0" w:rsidR="005A2C19" w:rsidRPr="005A2C19" w:rsidRDefault="009E75A5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E75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u skupu ishoda učenja </w:t>
            </w:r>
            <w:r w:rsidRPr="009E75A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Vezna sredstva kod izrade tesarskih</w:t>
            </w:r>
            <w:r w:rsidRPr="009E75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vezova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problemska nastava.</w:t>
            </w:r>
          </w:p>
          <w:p w14:paraId="51E7ACEB" w14:textId="77777777" w:rsidR="005A2C19" w:rsidRDefault="005A2C19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1A15131" w14:textId="46612E8A" w:rsidR="005A2C19" w:rsidRDefault="000767DB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A83F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astavnik će 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početku upoznati polaznike s vrstama i primjenom 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vezni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sredst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ava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21B4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konstrukci</w:t>
            </w:r>
            <w:r w:rsidR="00E52D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jama povezanim čeličnim i drvenim veznim sredstvima nakon čega će se p</w:t>
            </w:r>
            <w:r w:rsidR="008672D3" w:rsidRPr="008672D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 podijeliti u manje grupe i dobiti zadatak da istraže različite aspekte veznih sredstava i drvenih konstrukcija. Svaka grupa će imati zadatak proučiti određeni tip veznih sredstava ili metodu povezivanja i prikupiti informacije o njihovoj primjeni i karakteristikama. Nastavnik će pružiti materijale i izvore koji su pristupačni i razumljivi za polaznike</w:t>
            </w:r>
            <w:r w:rsidR="008672D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C7D9A43" w14:textId="11FECDA7" w:rsidR="006A3C38" w:rsidRPr="00CF46B7" w:rsidRDefault="006B3529" w:rsidP="00CF46B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52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Tijekom učenja temeljenog na radu polaznici će</w:t>
            </w:r>
            <w:r w:rsidR="00BF589A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u simuliranim i/ili stvarnim radnim situacijama primijeniti </w:t>
            </w:r>
            <w:r w:rsidRPr="006B352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znanje o povezivanju drvenih konstrukcija</w:t>
            </w:r>
            <w:r w:rsidR="00946694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te i</w:t>
            </w:r>
            <w:r w:rsidR="00946694" w:rsidRPr="00946694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zračunati debljinu, dubinu i najpovoljniji raspored čavala u drvenom spoju</w:t>
            </w:r>
            <w:r w:rsidR="00577900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uz podršku i nadzor nastavnika/mentora.</w:t>
            </w:r>
          </w:p>
        </w:tc>
      </w:tr>
      <w:tr w:rsidR="00B34D01" w:rsidRPr="00191491" w14:paraId="26489197" w14:textId="77777777" w:rsidTr="009E0074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46E0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B464F" w14:textId="77777777" w:rsidR="00B34D01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veznih sredstava kod drvenih konstrukcija</w:t>
            </w:r>
          </w:p>
          <w:p w14:paraId="508A19B4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Primjena veznih sredstava</w:t>
            </w:r>
          </w:p>
          <w:p w14:paraId="147D8037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Konstrukcije povezane čeličnim i drvenim veznim sredstvima</w:t>
            </w:r>
          </w:p>
          <w:p w14:paraId="3F0F4994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Odabir čavala u drvenom spoju</w:t>
            </w:r>
          </w:p>
          <w:p w14:paraId="50F6C74C" w14:textId="1AB2A359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Ljepila u drvenim konstrukcijama</w:t>
            </w:r>
          </w:p>
        </w:tc>
      </w:tr>
      <w:tr w:rsidR="00B34D01" w:rsidRPr="00191491" w14:paraId="0BE00CD5" w14:textId="77777777" w:rsidTr="009E00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0625AC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3EF5391C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1B735D" w14:textId="55FA3F71" w:rsidR="00170998" w:rsidRDefault="00170998" w:rsidP="0017099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</w:t>
            </w:r>
            <w:r w:rsidR="005F05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blemskim</w:t>
            </w: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zadatkom, vrednovanjem postupaka i rezultata aktivnosti, a na temelju unaprijed definiranih elemenata i kriterija vrednovanja.</w:t>
            </w:r>
          </w:p>
          <w:p w14:paraId="2FDEC17F" w14:textId="5B1845FD" w:rsidR="00170998" w:rsidRPr="00191491" w:rsidRDefault="0017099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36EE98EC" w14:textId="5B2145BF" w:rsidR="00472A42" w:rsidRPr="00191491" w:rsidRDefault="0084533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D17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</w:t>
            </w:r>
            <w:r w:rsidR="005F052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D17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zadatka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Investitor uređuje drvenu sjenicu, gdje će biti vidljivi tesarski spojevi i vezna sredstva.                                                                                                                                                                       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u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tvrditi potrebna vezna sredstva za svaki tesarski vez, a kod veze s čavlima paziti na izbor debljine čavla, njegovu dubinu zabijanja i najpovoljniji raspored u spoju.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Objasniti će razlike između konstrukcija povezanih čeličnim i drvenim veznim sredstvima te opisati koja su svojstva ljepila u drvenim konstrukcijama i za što i kada se upotrebljavaju.</w:t>
            </w:r>
          </w:p>
          <w:p w14:paraId="07685E53" w14:textId="61312F40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                                      </w:t>
            </w: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557DAED4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9F74475" w14:textId="687DACFE" w:rsidR="00B34D01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  <w:r w:rsidR="00B34D01" w:rsidRPr="00191491">
                    <w:rPr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E0A2016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A3B5282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1A8D5C1" w14:textId="6811D1AC" w:rsidR="00B34D01" w:rsidRPr="00191491" w:rsidRDefault="00B34D01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Ispravno </w:t>
                  </w:r>
                  <w:r w:rsidR="00472A42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utvrđivanje potrebnih veznih sredstava za svaki tesarski vez</w:t>
                  </w:r>
                </w:p>
              </w:tc>
              <w:tc>
                <w:tcPr>
                  <w:tcW w:w="1417" w:type="dxa"/>
                </w:tcPr>
                <w:p w14:paraId="551D25AD" w14:textId="3DFE7F7E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40</w:t>
                  </w:r>
                </w:p>
              </w:tc>
            </w:tr>
            <w:tr w:rsidR="00B34D01" w:rsidRPr="00191491" w14:paraId="1F9EFAA1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0D93E50" w14:textId="722BB568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Odabir čavala</w:t>
                  </w:r>
                </w:p>
              </w:tc>
              <w:tc>
                <w:tcPr>
                  <w:tcW w:w="1417" w:type="dxa"/>
                </w:tcPr>
                <w:p w14:paraId="19384AEC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664F2FBA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101C37D" w14:textId="18FD08D5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Odabir rasporeda čavala u spoju</w:t>
                  </w:r>
                </w:p>
              </w:tc>
              <w:tc>
                <w:tcPr>
                  <w:tcW w:w="1417" w:type="dxa"/>
                </w:tcPr>
                <w:p w14:paraId="2BB55373" w14:textId="2A95FF8C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631AD9" w:rsidRPr="00191491" w14:paraId="11989E25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0625FC3" w14:textId="7C9BD565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Razlike između konstrukcija</w:t>
                  </w:r>
                </w:p>
              </w:tc>
              <w:tc>
                <w:tcPr>
                  <w:tcW w:w="1417" w:type="dxa"/>
                </w:tcPr>
                <w:p w14:paraId="29007516" w14:textId="52E649E5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631AD9" w:rsidRPr="00191491" w14:paraId="7CAA781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55558A7" w14:textId="1C6AE807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Svojstva ljepila</w:t>
                  </w:r>
                </w:p>
              </w:tc>
              <w:tc>
                <w:tcPr>
                  <w:tcW w:w="1417" w:type="dxa"/>
                </w:tcPr>
                <w:p w14:paraId="0636BAD7" w14:textId="0FE79652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6408F7CF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6E6E151" w14:textId="5D3895C6" w:rsidR="00B34D01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Kontrola</w:t>
                  </w:r>
                  <w:r w:rsidR="00B34D01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 kvalitete izvedbe</w:t>
                  </w:r>
                </w:p>
              </w:tc>
              <w:tc>
                <w:tcPr>
                  <w:tcW w:w="1417" w:type="dxa"/>
                </w:tcPr>
                <w:p w14:paraId="625EA5BC" w14:textId="67BBA4AD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="00472A42"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0</w:t>
                  </w:r>
                </w:p>
              </w:tc>
            </w:tr>
          </w:tbl>
          <w:p w14:paraId="4717AA39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5FC70864" w14:textId="77777777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7199D41E" w14:textId="3FEF5D2C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71EA275E" w14:textId="7A189E6B" w:rsidR="00170998" w:rsidRPr="005E77FC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81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 1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</w:p>
        </w:tc>
      </w:tr>
      <w:tr w:rsidR="00B34D01" w:rsidRPr="00191491" w14:paraId="778BAE6F" w14:textId="77777777" w:rsidTr="009E00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9CB9AB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34D01" w:rsidRPr="00191491" w14:paraId="724684DA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AFC5F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649A4D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137B16E" w14:textId="77777777" w:rsidR="00B9774D" w:rsidRPr="00191491" w:rsidRDefault="00B9774D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4DA263EC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DE12AF" w14:textId="1FCC252F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A80D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;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D7F746D" w14:textId="626A6F36" w:rsidR="00B34D01" w:rsidRPr="00191491" w:rsidRDefault="00472A42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Tehnologija izrade tesarskih vezova</w:t>
            </w:r>
            <w:r w:rsidR="00A80DB3">
              <w:rPr>
                <w:b/>
                <w:bCs/>
                <w:sz w:val="20"/>
                <w:szCs w:val="20"/>
                <w:lang w:val="hr-HR"/>
              </w:rPr>
              <w:t>, 2 CSVET</w:t>
            </w:r>
          </w:p>
        </w:tc>
      </w:tr>
      <w:tr w:rsidR="00B34D01" w:rsidRPr="00191491" w14:paraId="56F79FA0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E024FB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045CE650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A39A6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vrste tesarskih vezova</w:t>
            </w:r>
          </w:p>
          <w:p w14:paraId="64D74552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Nacrtati radionički nacrt tesarskog veza</w:t>
            </w:r>
          </w:p>
          <w:p w14:paraId="47E9EE12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Prikazati tesarski vez u prostornoj projekciji</w:t>
            </w:r>
          </w:p>
          <w:p w14:paraId="4AE2270B" w14:textId="6F9B7CF3" w:rsidR="00E03396" w:rsidRPr="00C1565C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 xml:space="preserve">Prikazati karakteristične vezove </w:t>
            </w:r>
            <w:r w:rsidR="00E03396" w:rsidRPr="00C1565C">
              <w:rPr>
                <w:rFonts w:cstheme="minorHAnsi"/>
                <w:noProof/>
                <w:sz w:val="20"/>
                <w:szCs w:val="20"/>
              </w:rPr>
              <w:t>kod drvenih stropova i krovišta</w:t>
            </w:r>
          </w:p>
          <w:p w14:paraId="748DF0D4" w14:textId="2E2A75F0" w:rsidR="00B34D01" w:rsidRPr="00191491" w:rsidRDefault="00E03396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>Odabrati</w:t>
            </w:r>
            <w:r w:rsidR="00472A42" w:rsidRPr="00C1565C">
              <w:rPr>
                <w:rFonts w:cstheme="minorHAnsi"/>
                <w:noProof/>
                <w:sz w:val="20"/>
                <w:szCs w:val="20"/>
              </w:rPr>
              <w:t xml:space="preserve"> vezn</w:t>
            </w:r>
            <w:r w:rsidRPr="00C1565C">
              <w:rPr>
                <w:rFonts w:cstheme="minorHAnsi"/>
                <w:noProof/>
                <w:sz w:val="20"/>
                <w:szCs w:val="20"/>
              </w:rPr>
              <w:t>a</w:t>
            </w:r>
            <w:r w:rsidR="00472A42" w:rsidRPr="00C1565C">
              <w:rPr>
                <w:rFonts w:cstheme="minorHAnsi"/>
                <w:noProof/>
                <w:sz w:val="20"/>
                <w:szCs w:val="20"/>
              </w:rPr>
              <w:t xml:space="preserve"> sredstava kod drvenih stropova i krovišta</w:t>
            </w:r>
          </w:p>
        </w:tc>
      </w:tr>
      <w:tr w:rsidR="00B34D01" w:rsidRPr="00191491" w14:paraId="37E71D9A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FC30C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72E05EBA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A5A93" w14:textId="49D0CA43" w:rsidR="00A53BF5" w:rsidRDefault="00617009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61700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Dominantan nastavni sustav u skupu ishoda učenja </w:t>
            </w:r>
            <w:r w:rsidRPr="00617009">
              <w:rPr>
                <w:rFonts w:asciiTheme="minorHAnsi" w:hAnsiTheme="minorHAnsi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val="hr-HR"/>
              </w:rPr>
              <w:t>Tehnologija izrade tesarskih vezova</w:t>
            </w:r>
            <w:r w:rsidRPr="0061700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je projektna nastava.</w:t>
            </w:r>
          </w:p>
          <w:p w14:paraId="3AC18E99" w14:textId="682937DF" w:rsidR="00A53BF5" w:rsidRPr="00A53BF5" w:rsidRDefault="00CA4598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N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astavnik će 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na početku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upoznati polaznike s različitim vrstama tesarskih vez</w:t>
            </w:r>
            <w:r w:rsidR="00F915AA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ova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, njihovom svrhom i primjenom</w:t>
            </w:r>
            <w:r w:rsidR="005F656C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te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s tehničkim i radioničkim nacrtima tesarskih veza </w:t>
            </w:r>
            <w:r w:rsidR="002E533F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uz demonstraciju i podršku tijekom učenja.</w:t>
            </w:r>
          </w:p>
          <w:p w14:paraId="3DBA4955" w14:textId="60E85EDE" w:rsidR="00A53BF5" w:rsidRPr="00A53BF5" w:rsidRDefault="00A53BF5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Nakon uvodnog dijela, polaznici će dobiti projektni zadatak koji će zahtijevati primjenu njihovog znanja o tesarskim vezovima. Primjerice, mogu dobiti zadatak izgradnje drvene konstrukcije koja zahtijeva određene tesarske veze, ili mogu biti zaduženi za izradu detaljnog radioničkog nacrta za određenu tesarsku vezu. Nastavnik će pruž</w:t>
            </w:r>
            <w:r w:rsidR="005F656C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ati 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smjernice i podršku polaznicima tijekom projektnog rada.</w:t>
            </w:r>
          </w:p>
          <w:p w14:paraId="021306F5" w14:textId="0788370A" w:rsidR="00A53BF5" w:rsidRPr="00A53BF5" w:rsidRDefault="00A53BF5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Tijekom </w:t>
            </w:r>
            <w:r w:rsidR="00871714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učenja temeljenog na radu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, polaznici će raditi u skladu s </w:t>
            </w:r>
            <w:r w:rsidR="00E34043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radioničkim nacrtom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koji su sami izradili, koristeći odgovarajući alat i pribor za izvođenje tesarskih veza. Nastavnik će pružiti povratne informacije i vođenje tijekom procesa kako bi polaznicima pomogao u razvoju njihovih vještina i znanja.</w:t>
            </w:r>
          </w:p>
          <w:p w14:paraId="38676D7E" w14:textId="5A7DC1C8" w:rsidR="00C130F1" w:rsidRPr="0029231D" w:rsidRDefault="00BA4500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P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olaznici će imati priliku primijeniti svoje znanje o tesarskim vezovima na stvarnim projektima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te će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razviti vještine istraživanja, planiranja, rada s alatima i priborom te prezentiranja svojih ideja. Nastavnik će imati ulogu mentora koji će pružiti smjernice, podršku i povratne informacije kako bi potaknuo njihov razvoj i uspješno postizanje ishoda učenja.</w:t>
            </w:r>
          </w:p>
        </w:tc>
      </w:tr>
      <w:tr w:rsidR="00B34D01" w:rsidRPr="00191491" w14:paraId="519E04CF" w14:textId="77777777" w:rsidTr="0004391B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9EEB4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C1CED" w14:textId="77777777" w:rsidR="00B34D01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tesarskih vezova</w:t>
            </w:r>
          </w:p>
          <w:p w14:paraId="438FDB53" w14:textId="77777777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Radionički nacrt tesarskog veza</w:t>
            </w:r>
          </w:p>
          <w:p w14:paraId="51F2D3F9" w14:textId="77777777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Prostorna projekcija</w:t>
            </w:r>
          </w:p>
          <w:p w14:paraId="289E07CD" w14:textId="27E9AA98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Karakteristični vezovi kod drvenih stropova i krovišta</w:t>
            </w:r>
          </w:p>
        </w:tc>
      </w:tr>
      <w:tr w:rsidR="00B34D01" w:rsidRPr="00191491" w14:paraId="395C5E71" w14:textId="77777777" w:rsidTr="0004391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2B6206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177E9CC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C25359" w14:textId="11B50E2D" w:rsidR="00B34D01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Skup ishoda učenja i pripadajući ishodi učenja provjeravaju se </w:t>
            </w:r>
            <w:r w:rsidR="00422E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projektnim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zadat</w:t>
            </w:r>
            <w:r w:rsidR="00422E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vrednovanjem postupaka i rezultata aktivnosti, a na temelju unaprijed definiranih elemenata i kriterija vrednovanja.</w:t>
            </w:r>
          </w:p>
          <w:p w14:paraId="7656C883" w14:textId="77777777" w:rsidR="00B07CE8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2825906" w14:textId="044E27DD" w:rsidR="00DE5449" w:rsidRPr="00DE5449" w:rsidRDefault="00D92ABE" w:rsidP="00DE544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0B5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projektnog zadatka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Investitor uređuje drveni strop u dvoetažnom stanu, ali na raspolaganju ima neodgovarajuću drvenu građu </w:t>
            </w:r>
            <w:r w:rsidR="00472A42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duljini i presjeku. </w:t>
            </w:r>
            <w:r w:rsidR="00A92D74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251B4E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utvrditi </w:t>
            </w:r>
            <w:r w:rsidR="00472A42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potreban razmještaj drvene građe stropne konstrukcije, potrebne duljine i presjeka drvene građe i objasniti gdje je potrebno izvesti tesarski vez produljenja, pojačanja ili križanja drvene građe.</w:t>
            </w:r>
            <w:r w:rsidR="00631AD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E544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631AD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olaznik će </w:t>
            </w:r>
            <w:r w:rsidR="00DE5449" w:rsidRPr="00DE544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nacrtati radionički nacrt tesarskog veza te isti prikazati i prostornom projekcijom.</w:t>
            </w:r>
          </w:p>
          <w:p w14:paraId="6DEE631C" w14:textId="03C44218" w:rsidR="00B34D01" w:rsidRPr="00DE5449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</w:t>
            </w: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71398FB7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D5D2BD8" w14:textId="3DACABF8" w:rsidR="00B34D01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2A67F548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EBE72B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84B4109" w14:textId="196C433F" w:rsidR="00B34D01" w:rsidRPr="00191491" w:rsidRDefault="00472A42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razmještaja drvene građe stropne konstrukcije</w:t>
                  </w:r>
                </w:p>
              </w:tc>
              <w:tc>
                <w:tcPr>
                  <w:tcW w:w="1417" w:type="dxa"/>
                </w:tcPr>
                <w:p w14:paraId="0A0AE34B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7F3AD804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B4482DE" w14:textId="0F0C1465" w:rsidR="00B34D01" w:rsidRPr="00234E42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potrebne duljine drvene građe</w:t>
                  </w:r>
                </w:p>
              </w:tc>
              <w:tc>
                <w:tcPr>
                  <w:tcW w:w="1417" w:type="dxa"/>
                </w:tcPr>
                <w:p w14:paraId="1E5D600F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1CBE8FC3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F7E16FB" w14:textId="008594D0" w:rsidR="00B34D01" w:rsidRPr="00234E42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presjeka drvene građe</w:t>
                  </w:r>
                </w:p>
              </w:tc>
              <w:tc>
                <w:tcPr>
                  <w:tcW w:w="1417" w:type="dxa"/>
                </w:tcPr>
                <w:p w14:paraId="734442AB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251BCD" w:rsidRPr="00191491" w14:paraId="21EE070D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E698D6B" w14:textId="7A526F34" w:rsidR="00251BCD" w:rsidRPr="00234E42" w:rsidRDefault="00A5435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Izrada radioničkog nacrta</w:t>
                  </w:r>
                  <w:r w:rsidR="00553E6B"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 tesarskog veza</w:t>
                  </w:r>
                </w:p>
              </w:tc>
              <w:tc>
                <w:tcPr>
                  <w:tcW w:w="1417" w:type="dxa"/>
                </w:tcPr>
                <w:p w14:paraId="32632E25" w14:textId="4B93ED6A" w:rsidR="00251BCD" w:rsidRPr="00191491" w:rsidRDefault="00553E6B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</w:t>
                  </w:r>
                  <w:r w:rsidR="006F6EBE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  <w:tr w:rsidR="00811E77" w:rsidRPr="00191491" w14:paraId="1C907A36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19435B6" w14:textId="3A731B15" w:rsidR="00811E77" w:rsidRPr="00234E42" w:rsidRDefault="00553E6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Prikazivanje veza prostornom projekcijom.</w:t>
                  </w:r>
                </w:p>
              </w:tc>
              <w:tc>
                <w:tcPr>
                  <w:tcW w:w="1417" w:type="dxa"/>
                </w:tcPr>
                <w:p w14:paraId="2DDD4443" w14:textId="533BB365" w:rsidR="00811E77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</w:tbl>
          <w:p w14:paraId="0B8291F0" w14:textId="06880AAE" w:rsidR="00472A42" w:rsidRPr="00191491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2B256441" w14:textId="77777777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5483D0B4" w14:textId="19681F4F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811E7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5383EB8E" w14:textId="77777777" w:rsidR="00170998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1 do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14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  <w:r w:rsidR="00B34D0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</w:t>
            </w:r>
          </w:p>
          <w:p w14:paraId="63E9B2D6" w14:textId="2CFBD0BF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</w:t>
            </w:r>
          </w:p>
        </w:tc>
      </w:tr>
      <w:tr w:rsidR="00B34D01" w:rsidRPr="00191491" w14:paraId="1A39B55E" w14:textId="77777777" w:rsidTr="00CB4C8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513A6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284B5CDB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FA30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E4F03A3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E3612D3" w14:textId="77777777" w:rsidR="00B34D01" w:rsidRPr="0019149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07692419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7D1D9E" w14:textId="36DCC139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8" w:name="_Hlk132192530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80D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;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9E5FEB3" w14:textId="4C2628DA" w:rsidR="00B34D01" w:rsidRPr="00191491" w:rsidRDefault="00472A42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Izvedba tesarskih vezova</w:t>
            </w:r>
            <w:r w:rsidR="00A80DB3">
              <w:rPr>
                <w:b/>
                <w:bCs/>
                <w:sz w:val="20"/>
                <w:szCs w:val="20"/>
                <w:lang w:val="hr-HR"/>
              </w:rPr>
              <w:t>, 3 CSVET</w:t>
            </w:r>
          </w:p>
        </w:tc>
      </w:tr>
      <w:tr w:rsidR="00B34D01" w:rsidRPr="00191491" w14:paraId="2EE0E558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9A8B5A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27B27F6C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528BA" w14:textId="77777777" w:rsidR="00472A42" w:rsidRPr="00191491" w:rsidRDefault="00472A42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tehnički i radionički nacrt tesarskog veza u drvenim konstrukcijama</w:t>
            </w:r>
          </w:p>
          <w:p w14:paraId="786C2F02" w14:textId="77777777" w:rsidR="00472A42" w:rsidRPr="00191491" w:rsidRDefault="00472A42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Izvesti tesarski vez križanja i sudaranja</w:t>
            </w:r>
          </w:p>
          <w:p w14:paraId="642F5283" w14:textId="77777777" w:rsidR="00E03396" w:rsidRDefault="00E03396" w:rsidP="00E03396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Očistiti radni prostor i zbrinuti otpad</w:t>
            </w:r>
          </w:p>
          <w:p w14:paraId="6452E63E" w14:textId="52217F43" w:rsidR="00472A42" w:rsidRPr="00C1565C" w:rsidRDefault="00E03396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>Skladištiti preostali materijal prema vrsti materijala</w:t>
            </w:r>
          </w:p>
          <w:p w14:paraId="7B8E9336" w14:textId="2E9BD6BC" w:rsidR="00E03396" w:rsidRPr="00E03396" w:rsidRDefault="00E03396" w:rsidP="00E03396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Pripremiti potreban materijal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191491">
              <w:rPr>
                <w:rFonts w:cstheme="minorHAnsi"/>
                <w:noProof/>
                <w:sz w:val="20"/>
                <w:szCs w:val="20"/>
              </w:rPr>
              <w:t>te upotrebljavati odgovarajući alat i pribor</w:t>
            </w:r>
          </w:p>
        </w:tc>
      </w:tr>
      <w:tr w:rsidR="00B34D01" w:rsidRPr="00191491" w14:paraId="737F58C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CF0F01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1D33C4D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346B" w14:textId="05F83365" w:rsidR="00B35BC9" w:rsidRPr="00B35BC9" w:rsidRDefault="00B35BC9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za postizanje skupa ishoda učenja</w:t>
            </w:r>
            <w:r w:rsidR="001709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70998" w:rsidRPr="00170998">
              <w:rPr>
                <w:i/>
                <w:iCs/>
                <w:sz w:val="20"/>
                <w:szCs w:val="20"/>
                <w:lang w:val="hr-HR"/>
              </w:rPr>
              <w:t>Izvedba tesarskih vezova</w:t>
            </w:r>
            <w:r w:rsidR="001709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05D72F3C" w14:textId="2560F08F" w:rsidR="00B35BC9" w:rsidRPr="00B35BC9" w:rsidRDefault="002C3235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astavnik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upoznaje</w:t>
            </w:r>
            <w:r w:rsidR="00DA708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demonstrira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icima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tehničk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radioničk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nacrt tesarskih veza u drvenim konstrukcijama te pravilnim sortiranjem i skladištenjem preostalog materijala.</w:t>
            </w:r>
          </w:p>
          <w:p w14:paraId="6072C5B8" w14:textId="6B01261A" w:rsidR="00B35BC9" w:rsidRPr="00B35BC9" w:rsidRDefault="00ED23AE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br/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</w:t>
            </w:r>
            <w:r w:rsidR="00D20DC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učenja temeljenog na radu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polaznici će pripre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mati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potrebn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materijal, upotre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bljavati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odgovarajuć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alat i pribor te izvo</w:t>
            </w:r>
            <w:r w:rsidR="00DD4F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diti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tesarsk</w:t>
            </w:r>
            <w:r w:rsidR="00DD4F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161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spojeve</w:t>
            </w:r>
            <w:r w:rsidR="00CD686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kao što su križanja i sudaranja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D47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koristeći radionički nacrt a sve 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uz podršku i nadzor nastavnika/mentora.</w:t>
            </w:r>
          </w:p>
          <w:p w14:paraId="00DC4445" w14:textId="7E80B953" w:rsidR="00DF30F1" w:rsidRPr="00E937A3" w:rsidRDefault="00B35BC9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Osim toga, polaznici će biti uključeni u aktivnosti sortiranja i skladištenja preostalog materijala, čišćenja radnog prostora i zbrinjavanja otpada. Kroz praktične situacije, polaznici će naučiti pravilno razvrstavati materijale, organizirati ih na odgovarajući način i osigurati sigurno skladištenje. Također će se poticati očuvanje čistoće radnog prostora i pravilno zbrinjavanje otpada u skladu s propisima i standardima. </w:t>
            </w:r>
          </w:p>
        </w:tc>
      </w:tr>
      <w:tr w:rsidR="00B34D01" w:rsidRPr="00191491" w14:paraId="7A99F24C" w14:textId="77777777" w:rsidTr="00F1799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13214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16F14" w14:textId="706C22E1" w:rsidR="00B34D01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Odabir odgovarajućeg materijala, alata i pribora</w:t>
            </w:r>
          </w:p>
          <w:p w14:paraId="2C056E33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Tehnički i radionički nacrt tesarskog veza u drvenim konstrukcijama</w:t>
            </w:r>
          </w:p>
          <w:p w14:paraId="2414ED51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Tesarski vez križanja i sudaranja</w:t>
            </w:r>
          </w:p>
          <w:p w14:paraId="1C4D29F9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Skladištenje preostalog materijala</w:t>
            </w:r>
          </w:p>
          <w:p w14:paraId="3B886510" w14:textId="180CA18F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Zbrinjavanje otpada</w:t>
            </w:r>
          </w:p>
        </w:tc>
      </w:tr>
      <w:tr w:rsidR="00B34D01" w:rsidRPr="00191491" w14:paraId="0903E498" w14:textId="77777777" w:rsidTr="00F1799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F1457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67ADAA9B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5F33B4" w14:textId="77777777" w:rsidR="00D70793" w:rsidRDefault="00D70793" w:rsidP="00D7079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0CF917CD" w14:textId="77777777" w:rsidR="00B07CE8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5067C0EC" w14:textId="0ABC342A" w:rsidR="0023605F" w:rsidRPr="00191491" w:rsidRDefault="00D70793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B1A4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projektnog zadatka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3605F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moraju izraditi </w:t>
            </w:r>
            <w:r w:rsidR="00226B2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segment krovišta na kojem bi bili vidljivi </w:t>
            </w:r>
            <w:r w:rsidR="00E259E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tesarski vezovi tupog sudaranja</w:t>
            </w:r>
            <w:r w:rsidR="00704F80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Prije izrade će pripremiti sav potreban materijal, alat i pribor.</w:t>
            </w:r>
          </w:p>
          <w:p w14:paraId="35F1A851" w14:textId="2BA26356" w:rsidR="00B34D01" w:rsidRPr="00191491" w:rsidRDefault="007E6B8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</w:t>
            </w:r>
            <w:r w:rsidR="000B1B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</w:t>
            </w:r>
            <w:r w:rsidR="003E39E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treba</w:t>
            </w:r>
            <w:r w:rsidR="00043F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koristiti</w:t>
            </w:r>
            <w:r w:rsidR="007C1604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radionički nacrt sa svim tesarskim vezovima i veznim sredstvima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su potrebni za izvođenje zadatka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Raspoloživim alatima i</w:t>
            </w:r>
            <w:r w:rsidR="00F155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zv</w:t>
            </w:r>
            <w:r w:rsidR="00555A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F155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sti će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47D90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postupke izrade tesarskog veza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nacrtu uz točnost izrade i preciznost.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završetku radova</w:t>
            </w:r>
            <w:r w:rsidR="00FE75C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</w:t>
            </w:r>
            <w:r w:rsidR="00555A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p</w:t>
            </w:r>
            <w:r w:rsidR="00CD2589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ravilno sortirati i skladištiti preostali materijal</w:t>
            </w:r>
            <w:r w:rsidR="00DF2FF1" w:rsidRPr="00191491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te o</w:t>
            </w:r>
            <w:r w:rsidR="00CD2589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čistiti radni prostor i zbrinuti otpad</w:t>
            </w:r>
            <w:r w:rsidR="00DF2FF1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12D2FF93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1CCDA685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3A35D34" w14:textId="35CD994A" w:rsidR="00B34D01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6D3B7392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8E0C025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87A072C" w14:textId="77777777" w:rsidR="00B34D01" w:rsidRPr="00191491" w:rsidRDefault="00B34D01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Priprema za rad</w:t>
                  </w:r>
                </w:p>
              </w:tc>
              <w:tc>
                <w:tcPr>
                  <w:tcW w:w="1417" w:type="dxa"/>
                </w:tcPr>
                <w:p w14:paraId="1C71E812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B34D01" w:rsidRPr="00191491" w14:paraId="55F392BF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13841D4" w14:textId="0C594874" w:rsidR="00B34D01" w:rsidRPr="00191491" w:rsidRDefault="002745C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Korištenje</w:t>
                  </w:r>
                  <w:r w:rsidR="00B3328E"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 radioničkog nacrta</w:t>
                  </w:r>
                </w:p>
              </w:tc>
              <w:tc>
                <w:tcPr>
                  <w:tcW w:w="1417" w:type="dxa"/>
                </w:tcPr>
                <w:p w14:paraId="26423B8F" w14:textId="6D8968DC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B34D01" w:rsidRPr="00191491" w14:paraId="58D8EC03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C519342" w14:textId="41E1C287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Izrada po nacrtu</w:t>
                  </w:r>
                </w:p>
              </w:tc>
              <w:tc>
                <w:tcPr>
                  <w:tcW w:w="1417" w:type="dxa"/>
                </w:tcPr>
                <w:p w14:paraId="608B3E11" w14:textId="7B435432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B34D01" w:rsidRPr="00191491" w14:paraId="4218F7A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4E32721" w14:textId="58D3B7A8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Sortiranje preostalog materijala</w:t>
                  </w:r>
                </w:p>
              </w:tc>
              <w:tc>
                <w:tcPr>
                  <w:tcW w:w="1417" w:type="dxa"/>
                </w:tcPr>
                <w:p w14:paraId="6960D003" w14:textId="7E588C38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B34D01" w:rsidRPr="00191491" w14:paraId="66D954A2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2E299F6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Samoprocjena kvalitete uratka</w:t>
                  </w:r>
                </w:p>
              </w:tc>
              <w:tc>
                <w:tcPr>
                  <w:tcW w:w="1417" w:type="dxa"/>
                </w:tcPr>
                <w:p w14:paraId="5A3964B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B34D01" w:rsidRPr="00191491" w14:paraId="6757F2A0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A90C5BC" w14:textId="35389040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1417" w:type="dxa"/>
                </w:tcPr>
                <w:p w14:paraId="5EFE92F0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</w:tbl>
          <w:p w14:paraId="3403E47A" w14:textId="76739972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C699B40" w14:textId="77777777" w:rsidR="00B3328E" w:rsidRPr="00191491" w:rsidRDefault="00B3328E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lastRenderedPageBreak/>
              <w:t>Kriteriji vrednovanja</w:t>
            </w:r>
          </w:p>
          <w:p w14:paraId="2A75C603" w14:textId="3415B530" w:rsidR="00B3328E" w:rsidRPr="00191491" w:rsidRDefault="00B3328E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0 do 50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2693D84A" w14:textId="77777777" w:rsidR="00B34D01" w:rsidRDefault="00B3328E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51 do 100 boda zadovoljava.</w:t>
            </w:r>
          </w:p>
          <w:p w14:paraId="1460FBEF" w14:textId="6AED60C9" w:rsidR="00365041" w:rsidRPr="00191491" w:rsidRDefault="0036504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B34D01" w:rsidRPr="00191491" w14:paraId="4A213203" w14:textId="77777777" w:rsidTr="00CE4B6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76F1A6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05D72E39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888C95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F8614C1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8"/>
    </w:tbl>
    <w:p w14:paraId="71287435" w14:textId="77777777" w:rsidR="00DD724B" w:rsidRDefault="00DD724B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4E73722A" w14:textId="1B28393C" w:rsidR="00B34D01" w:rsidRPr="0019149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191491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3DEF9D1C" w14:textId="77777777" w:rsidR="00B34D01" w:rsidRPr="00191491" w:rsidRDefault="00B34D01" w:rsidP="00B34D01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191491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2C6B0B92" w14:textId="77777777" w:rsidR="00B34D01" w:rsidRPr="00191491" w:rsidRDefault="00B34D01" w:rsidP="00B34D01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19149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34D01" w:rsidRPr="00191491" w14:paraId="3298831C" w14:textId="77777777" w:rsidTr="00F54F86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1A7B60F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A002502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34D01" w:rsidRPr="00191491" w14:paraId="3DB2F214" w14:textId="77777777" w:rsidTr="00F54F86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FEAAAA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08A1AE93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34D01" w:rsidRPr="00191491" w14:paraId="2113BB3E" w14:textId="77777777" w:rsidTr="00F54F86">
        <w:tc>
          <w:tcPr>
            <w:tcW w:w="4630" w:type="dxa"/>
            <w:hideMark/>
          </w:tcPr>
          <w:p w14:paraId="14FDB75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646F68C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F8501F1" w14:textId="77777777" w:rsidR="00427EA4" w:rsidRPr="00191491" w:rsidRDefault="00427EA4" w:rsidP="00F97033">
      <w:pPr>
        <w:rPr>
          <w:lang w:val="hr-HR"/>
        </w:rPr>
      </w:pPr>
    </w:p>
    <w:sectPr w:rsidR="00427EA4" w:rsidRPr="00191491" w:rsidSect="00D20E83">
      <w:footerReference w:type="default" r:id="rId33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E957" w14:textId="77777777" w:rsidR="006B2435" w:rsidRDefault="006B2435" w:rsidP="00D20E83">
      <w:pPr>
        <w:spacing w:after="0" w:line="240" w:lineRule="auto"/>
      </w:pPr>
      <w:r>
        <w:separator/>
      </w:r>
    </w:p>
  </w:endnote>
  <w:endnote w:type="continuationSeparator" w:id="0">
    <w:p w14:paraId="233149DC" w14:textId="77777777" w:rsidR="006B2435" w:rsidRDefault="006B2435" w:rsidP="00D2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6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A4A94" w14:textId="5C3A6DCA" w:rsidR="00D20E83" w:rsidRDefault="00D20E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CB8DA" w14:textId="77777777" w:rsidR="00D20E83" w:rsidRDefault="00D20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58E7" w14:textId="77777777" w:rsidR="006B2435" w:rsidRDefault="006B2435" w:rsidP="00D20E83">
      <w:pPr>
        <w:spacing w:after="0" w:line="240" w:lineRule="auto"/>
      </w:pPr>
      <w:r>
        <w:separator/>
      </w:r>
    </w:p>
  </w:footnote>
  <w:footnote w:type="continuationSeparator" w:id="0">
    <w:p w14:paraId="37D3AC3B" w14:textId="77777777" w:rsidR="006B2435" w:rsidRDefault="006B2435" w:rsidP="00D2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C8A"/>
    <w:multiLevelType w:val="hybridMultilevel"/>
    <w:tmpl w:val="5D28409C"/>
    <w:lvl w:ilvl="0" w:tplc="041A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420B"/>
    <w:multiLevelType w:val="hybridMultilevel"/>
    <w:tmpl w:val="0D143C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F4442"/>
    <w:multiLevelType w:val="hybridMultilevel"/>
    <w:tmpl w:val="C54EE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BC0"/>
    <w:multiLevelType w:val="hybridMultilevel"/>
    <w:tmpl w:val="0662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60C3"/>
    <w:multiLevelType w:val="hybridMultilevel"/>
    <w:tmpl w:val="AFF4B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6704"/>
    <w:multiLevelType w:val="hybridMultilevel"/>
    <w:tmpl w:val="088C3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44CEC"/>
    <w:multiLevelType w:val="hybridMultilevel"/>
    <w:tmpl w:val="ED9AF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103C"/>
    <w:multiLevelType w:val="hybridMultilevel"/>
    <w:tmpl w:val="87A2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7344"/>
    <w:multiLevelType w:val="hybridMultilevel"/>
    <w:tmpl w:val="86ACD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F466B"/>
    <w:multiLevelType w:val="hybridMultilevel"/>
    <w:tmpl w:val="6E80A822"/>
    <w:lvl w:ilvl="0" w:tplc="9B4AD64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3CE"/>
    <w:multiLevelType w:val="hybridMultilevel"/>
    <w:tmpl w:val="10A01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A9A"/>
    <w:multiLevelType w:val="hybridMultilevel"/>
    <w:tmpl w:val="C95A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49E7"/>
    <w:multiLevelType w:val="hybridMultilevel"/>
    <w:tmpl w:val="8D52072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11D6"/>
    <w:multiLevelType w:val="hybridMultilevel"/>
    <w:tmpl w:val="FFD89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BFE"/>
    <w:multiLevelType w:val="hybridMultilevel"/>
    <w:tmpl w:val="71E4A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4498"/>
    <w:multiLevelType w:val="hybridMultilevel"/>
    <w:tmpl w:val="862E27D2"/>
    <w:lvl w:ilvl="0" w:tplc="9B4AD64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14E2"/>
    <w:multiLevelType w:val="hybridMultilevel"/>
    <w:tmpl w:val="AA564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FA6D63"/>
    <w:multiLevelType w:val="hybridMultilevel"/>
    <w:tmpl w:val="ACC0D6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724B51"/>
    <w:multiLevelType w:val="hybridMultilevel"/>
    <w:tmpl w:val="6BDC3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177E"/>
    <w:multiLevelType w:val="hybridMultilevel"/>
    <w:tmpl w:val="1BDE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E1560"/>
    <w:multiLevelType w:val="hybridMultilevel"/>
    <w:tmpl w:val="1BDE8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73AA2"/>
    <w:multiLevelType w:val="hybridMultilevel"/>
    <w:tmpl w:val="3DDEE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92C7B89"/>
    <w:multiLevelType w:val="hybridMultilevel"/>
    <w:tmpl w:val="28B046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55B2E"/>
    <w:multiLevelType w:val="hybridMultilevel"/>
    <w:tmpl w:val="9BD015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6F9B665D"/>
    <w:multiLevelType w:val="hybridMultilevel"/>
    <w:tmpl w:val="8FB82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A3B1D"/>
    <w:multiLevelType w:val="hybridMultilevel"/>
    <w:tmpl w:val="9256555C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85D84"/>
    <w:multiLevelType w:val="hybridMultilevel"/>
    <w:tmpl w:val="AE4AD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C1640"/>
    <w:multiLevelType w:val="hybridMultilevel"/>
    <w:tmpl w:val="23502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14"/>
  </w:num>
  <w:num w:numId="5">
    <w:abstractNumId w:val="20"/>
  </w:num>
  <w:num w:numId="6">
    <w:abstractNumId w:val="16"/>
  </w:num>
  <w:num w:numId="7">
    <w:abstractNumId w:val="15"/>
  </w:num>
  <w:num w:numId="8">
    <w:abstractNumId w:val="13"/>
  </w:num>
  <w:num w:numId="9">
    <w:abstractNumId w:val="28"/>
  </w:num>
  <w:num w:numId="10">
    <w:abstractNumId w:val="24"/>
  </w:num>
  <w:num w:numId="11">
    <w:abstractNumId w:val="10"/>
  </w:num>
  <w:num w:numId="12">
    <w:abstractNumId w:val="5"/>
  </w:num>
  <w:num w:numId="13">
    <w:abstractNumId w:val="17"/>
  </w:num>
  <w:num w:numId="14">
    <w:abstractNumId w:val="6"/>
  </w:num>
  <w:num w:numId="15">
    <w:abstractNumId w:val="0"/>
  </w:num>
  <w:num w:numId="16">
    <w:abstractNumId w:val="18"/>
  </w:num>
  <w:num w:numId="17">
    <w:abstractNumId w:val="11"/>
  </w:num>
  <w:num w:numId="18">
    <w:abstractNumId w:val="12"/>
  </w:num>
  <w:num w:numId="19">
    <w:abstractNumId w:val="30"/>
  </w:num>
  <w:num w:numId="20">
    <w:abstractNumId w:val="21"/>
  </w:num>
  <w:num w:numId="21">
    <w:abstractNumId w:val="9"/>
  </w:num>
  <w:num w:numId="22">
    <w:abstractNumId w:val="23"/>
  </w:num>
  <w:num w:numId="23">
    <w:abstractNumId w:val="31"/>
  </w:num>
  <w:num w:numId="24">
    <w:abstractNumId w:val="19"/>
  </w:num>
  <w:num w:numId="25">
    <w:abstractNumId w:val="27"/>
  </w:num>
  <w:num w:numId="26">
    <w:abstractNumId w:val="22"/>
  </w:num>
  <w:num w:numId="27">
    <w:abstractNumId w:val="8"/>
  </w:num>
  <w:num w:numId="28">
    <w:abstractNumId w:val="7"/>
  </w:num>
  <w:num w:numId="29">
    <w:abstractNumId w:val="3"/>
  </w:num>
  <w:num w:numId="30">
    <w:abstractNumId w:val="4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1"/>
    <w:rsid w:val="00002217"/>
    <w:rsid w:val="00003B70"/>
    <w:rsid w:val="00004500"/>
    <w:rsid w:val="00012109"/>
    <w:rsid w:val="00012527"/>
    <w:rsid w:val="00012EBB"/>
    <w:rsid w:val="00027358"/>
    <w:rsid w:val="0003031E"/>
    <w:rsid w:val="00034E1C"/>
    <w:rsid w:val="0003565E"/>
    <w:rsid w:val="00036072"/>
    <w:rsid w:val="00040787"/>
    <w:rsid w:val="00041EC0"/>
    <w:rsid w:val="0004391B"/>
    <w:rsid w:val="00043F50"/>
    <w:rsid w:val="000530CA"/>
    <w:rsid w:val="000719DF"/>
    <w:rsid w:val="000767DB"/>
    <w:rsid w:val="00084A90"/>
    <w:rsid w:val="00096021"/>
    <w:rsid w:val="000B032B"/>
    <w:rsid w:val="000B1A46"/>
    <w:rsid w:val="000B1B63"/>
    <w:rsid w:val="000B52BE"/>
    <w:rsid w:val="000C2DA0"/>
    <w:rsid w:val="000C2ECB"/>
    <w:rsid w:val="000C2ED5"/>
    <w:rsid w:val="000D0ABC"/>
    <w:rsid w:val="000D147D"/>
    <w:rsid w:val="000D2D29"/>
    <w:rsid w:val="000E6DA7"/>
    <w:rsid w:val="000F1013"/>
    <w:rsid w:val="000F38F4"/>
    <w:rsid w:val="000F4D52"/>
    <w:rsid w:val="000F77FB"/>
    <w:rsid w:val="00102593"/>
    <w:rsid w:val="00110724"/>
    <w:rsid w:val="001117FE"/>
    <w:rsid w:val="00111B17"/>
    <w:rsid w:val="00112117"/>
    <w:rsid w:val="00114009"/>
    <w:rsid w:val="00127905"/>
    <w:rsid w:val="001346C1"/>
    <w:rsid w:val="00141086"/>
    <w:rsid w:val="00141C17"/>
    <w:rsid w:val="00155882"/>
    <w:rsid w:val="00156917"/>
    <w:rsid w:val="00170998"/>
    <w:rsid w:val="00180796"/>
    <w:rsid w:val="00191491"/>
    <w:rsid w:val="001A74D4"/>
    <w:rsid w:val="001B2106"/>
    <w:rsid w:val="001B3F33"/>
    <w:rsid w:val="001B7193"/>
    <w:rsid w:val="001C1317"/>
    <w:rsid w:val="001C2CE2"/>
    <w:rsid w:val="001C30D9"/>
    <w:rsid w:val="001C3DDC"/>
    <w:rsid w:val="001D3508"/>
    <w:rsid w:val="001D4BC5"/>
    <w:rsid w:val="001D5CA7"/>
    <w:rsid w:val="001E2386"/>
    <w:rsid w:val="001E3DC8"/>
    <w:rsid w:val="001E71F4"/>
    <w:rsid w:val="001F30D8"/>
    <w:rsid w:val="002016F1"/>
    <w:rsid w:val="00205720"/>
    <w:rsid w:val="00211AEE"/>
    <w:rsid w:val="00211B21"/>
    <w:rsid w:val="00215E23"/>
    <w:rsid w:val="00221B48"/>
    <w:rsid w:val="00223F6E"/>
    <w:rsid w:val="00226B2B"/>
    <w:rsid w:val="00233591"/>
    <w:rsid w:val="00234E42"/>
    <w:rsid w:val="002355CF"/>
    <w:rsid w:val="0023605F"/>
    <w:rsid w:val="00243530"/>
    <w:rsid w:val="00245278"/>
    <w:rsid w:val="00245D64"/>
    <w:rsid w:val="00251B4E"/>
    <w:rsid w:val="00251BCD"/>
    <w:rsid w:val="00251E39"/>
    <w:rsid w:val="002538A3"/>
    <w:rsid w:val="00257F67"/>
    <w:rsid w:val="002634B8"/>
    <w:rsid w:val="00263FE8"/>
    <w:rsid w:val="002707AF"/>
    <w:rsid w:val="002745CE"/>
    <w:rsid w:val="00280FA7"/>
    <w:rsid w:val="002905A0"/>
    <w:rsid w:val="0029231D"/>
    <w:rsid w:val="002B12AF"/>
    <w:rsid w:val="002C0CE3"/>
    <w:rsid w:val="002C3235"/>
    <w:rsid w:val="002D3F03"/>
    <w:rsid w:val="002D47B0"/>
    <w:rsid w:val="002D6228"/>
    <w:rsid w:val="002E533F"/>
    <w:rsid w:val="002E6563"/>
    <w:rsid w:val="00302787"/>
    <w:rsid w:val="00304214"/>
    <w:rsid w:val="00306EBC"/>
    <w:rsid w:val="003149AC"/>
    <w:rsid w:val="00316EA6"/>
    <w:rsid w:val="0032204F"/>
    <w:rsid w:val="00337DD1"/>
    <w:rsid w:val="00341195"/>
    <w:rsid w:val="0036044E"/>
    <w:rsid w:val="00365041"/>
    <w:rsid w:val="003676B9"/>
    <w:rsid w:val="0038568A"/>
    <w:rsid w:val="003901B6"/>
    <w:rsid w:val="00390221"/>
    <w:rsid w:val="00397CB8"/>
    <w:rsid w:val="00397E87"/>
    <w:rsid w:val="003A0EFA"/>
    <w:rsid w:val="003A1A41"/>
    <w:rsid w:val="003B54AB"/>
    <w:rsid w:val="003C0154"/>
    <w:rsid w:val="003C5423"/>
    <w:rsid w:val="003E39E0"/>
    <w:rsid w:val="003F05BB"/>
    <w:rsid w:val="003F0BC3"/>
    <w:rsid w:val="003F15FD"/>
    <w:rsid w:val="003F6EB2"/>
    <w:rsid w:val="004057B2"/>
    <w:rsid w:val="00407CA0"/>
    <w:rsid w:val="00413337"/>
    <w:rsid w:val="00414738"/>
    <w:rsid w:val="0041697B"/>
    <w:rsid w:val="00422E18"/>
    <w:rsid w:val="0042570F"/>
    <w:rsid w:val="00427EA4"/>
    <w:rsid w:val="00433CC0"/>
    <w:rsid w:val="00437F70"/>
    <w:rsid w:val="004409ED"/>
    <w:rsid w:val="004440A0"/>
    <w:rsid w:val="004460C3"/>
    <w:rsid w:val="00471015"/>
    <w:rsid w:val="00472A42"/>
    <w:rsid w:val="00476438"/>
    <w:rsid w:val="00480E96"/>
    <w:rsid w:val="0049194B"/>
    <w:rsid w:val="004948AA"/>
    <w:rsid w:val="004A2D87"/>
    <w:rsid w:val="004A5183"/>
    <w:rsid w:val="004A668A"/>
    <w:rsid w:val="004B0D08"/>
    <w:rsid w:val="004C0B77"/>
    <w:rsid w:val="004C1148"/>
    <w:rsid w:val="004C2FB1"/>
    <w:rsid w:val="004C4CA5"/>
    <w:rsid w:val="004C5CA3"/>
    <w:rsid w:val="004C6EF2"/>
    <w:rsid w:val="004C7BCF"/>
    <w:rsid w:val="004D1277"/>
    <w:rsid w:val="004D260D"/>
    <w:rsid w:val="004E0021"/>
    <w:rsid w:val="004E2ACF"/>
    <w:rsid w:val="004E2DD0"/>
    <w:rsid w:val="00503E41"/>
    <w:rsid w:val="00510C8B"/>
    <w:rsid w:val="00514386"/>
    <w:rsid w:val="00515BB6"/>
    <w:rsid w:val="005169E7"/>
    <w:rsid w:val="005235F2"/>
    <w:rsid w:val="00526B1D"/>
    <w:rsid w:val="00542546"/>
    <w:rsid w:val="005450E2"/>
    <w:rsid w:val="005510E1"/>
    <w:rsid w:val="00553E6B"/>
    <w:rsid w:val="00555AFF"/>
    <w:rsid w:val="005561A8"/>
    <w:rsid w:val="0056216A"/>
    <w:rsid w:val="0056345E"/>
    <w:rsid w:val="00563BC1"/>
    <w:rsid w:val="005653AB"/>
    <w:rsid w:val="00577900"/>
    <w:rsid w:val="00577BF7"/>
    <w:rsid w:val="00591E02"/>
    <w:rsid w:val="005A2C19"/>
    <w:rsid w:val="005A360A"/>
    <w:rsid w:val="005A5863"/>
    <w:rsid w:val="005B3400"/>
    <w:rsid w:val="005B51F3"/>
    <w:rsid w:val="005B5A64"/>
    <w:rsid w:val="005B6DE5"/>
    <w:rsid w:val="005C2751"/>
    <w:rsid w:val="005C7406"/>
    <w:rsid w:val="005D437F"/>
    <w:rsid w:val="005D4424"/>
    <w:rsid w:val="005D44D2"/>
    <w:rsid w:val="005D5260"/>
    <w:rsid w:val="005D719A"/>
    <w:rsid w:val="005E65CD"/>
    <w:rsid w:val="005E77FC"/>
    <w:rsid w:val="005F0528"/>
    <w:rsid w:val="005F1056"/>
    <w:rsid w:val="005F3F28"/>
    <w:rsid w:val="005F656C"/>
    <w:rsid w:val="00615773"/>
    <w:rsid w:val="00615E4B"/>
    <w:rsid w:val="00617009"/>
    <w:rsid w:val="00620C8A"/>
    <w:rsid w:val="00624395"/>
    <w:rsid w:val="006259B1"/>
    <w:rsid w:val="00631780"/>
    <w:rsid w:val="00631AD9"/>
    <w:rsid w:val="006357D7"/>
    <w:rsid w:val="00636936"/>
    <w:rsid w:val="00637E64"/>
    <w:rsid w:val="0065035B"/>
    <w:rsid w:val="00654C00"/>
    <w:rsid w:val="00654E9D"/>
    <w:rsid w:val="00656C07"/>
    <w:rsid w:val="006579CC"/>
    <w:rsid w:val="0067131D"/>
    <w:rsid w:val="0067503C"/>
    <w:rsid w:val="006815E6"/>
    <w:rsid w:val="0068285D"/>
    <w:rsid w:val="00687BA4"/>
    <w:rsid w:val="006908CE"/>
    <w:rsid w:val="0069501A"/>
    <w:rsid w:val="006A1040"/>
    <w:rsid w:val="006A23FB"/>
    <w:rsid w:val="006A3C38"/>
    <w:rsid w:val="006A7ACA"/>
    <w:rsid w:val="006B0911"/>
    <w:rsid w:val="006B2435"/>
    <w:rsid w:val="006B27F4"/>
    <w:rsid w:val="006B3529"/>
    <w:rsid w:val="006C2197"/>
    <w:rsid w:val="006C5E14"/>
    <w:rsid w:val="006D1756"/>
    <w:rsid w:val="006E115C"/>
    <w:rsid w:val="006F1CA7"/>
    <w:rsid w:val="006F6EBE"/>
    <w:rsid w:val="006F786C"/>
    <w:rsid w:val="00704F80"/>
    <w:rsid w:val="00710B5E"/>
    <w:rsid w:val="00712E99"/>
    <w:rsid w:val="00714490"/>
    <w:rsid w:val="00716165"/>
    <w:rsid w:val="00723FC9"/>
    <w:rsid w:val="00724258"/>
    <w:rsid w:val="00725B76"/>
    <w:rsid w:val="00732FDE"/>
    <w:rsid w:val="00733B63"/>
    <w:rsid w:val="007409EB"/>
    <w:rsid w:val="0074392D"/>
    <w:rsid w:val="00746BB1"/>
    <w:rsid w:val="00752A71"/>
    <w:rsid w:val="007545BE"/>
    <w:rsid w:val="00755089"/>
    <w:rsid w:val="00761AB9"/>
    <w:rsid w:val="00762408"/>
    <w:rsid w:val="007677ED"/>
    <w:rsid w:val="007855FD"/>
    <w:rsid w:val="00786A9D"/>
    <w:rsid w:val="007949DF"/>
    <w:rsid w:val="007A2686"/>
    <w:rsid w:val="007B22C2"/>
    <w:rsid w:val="007B6914"/>
    <w:rsid w:val="007C07B6"/>
    <w:rsid w:val="007C1604"/>
    <w:rsid w:val="007D0147"/>
    <w:rsid w:val="007D1A8F"/>
    <w:rsid w:val="007D3307"/>
    <w:rsid w:val="007D349B"/>
    <w:rsid w:val="007D6A47"/>
    <w:rsid w:val="007D7D50"/>
    <w:rsid w:val="007E544F"/>
    <w:rsid w:val="007E6B88"/>
    <w:rsid w:val="007F0051"/>
    <w:rsid w:val="008060F2"/>
    <w:rsid w:val="00806DE6"/>
    <w:rsid w:val="00811E77"/>
    <w:rsid w:val="00815BDF"/>
    <w:rsid w:val="00816B45"/>
    <w:rsid w:val="00821DBC"/>
    <w:rsid w:val="008233E8"/>
    <w:rsid w:val="00830362"/>
    <w:rsid w:val="008306B3"/>
    <w:rsid w:val="00830731"/>
    <w:rsid w:val="008311A6"/>
    <w:rsid w:val="0083666A"/>
    <w:rsid w:val="00836A47"/>
    <w:rsid w:val="008404AA"/>
    <w:rsid w:val="00841509"/>
    <w:rsid w:val="00845332"/>
    <w:rsid w:val="008459CA"/>
    <w:rsid w:val="008524E3"/>
    <w:rsid w:val="00852DF9"/>
    <w:rsid w:val="008556C1"/>
    <w:rsid w:val="008612F5"/>
    <w:rsid w:val="00862564"/>
    <w:rsid w:val="008626CE"/>
    <w:rsid w:val="008672D3"/>
    <w:rsid w:val="00871714"/>
    <w:rsid w:val="00875C91"/>
    <w:rsid w:val="008778FA"/>
    <w:rsid w:val="008800F2"/>
    <w:rsid w:val="00890FB6"/>
    <w:rsid w:val="008919F0"/>
    <w:rsid w:val="008B208E"/>
    <w:rsid w:val="008B2F7B"/>
    <w:rsid w:val="008B305A"/>
    <w:rsid w:val="008C50C7"/>
    <w:rsid w:val="008E16F8"/>
    <w:rsid w:val="008F6804"/>
    <w:rsid w:val="00902BA5"/>
    <w:rsid w:val="0091229A"/>
    <w:rsid w:val="00916AE3"/>
    <w:rsid w:val="009236B2"/>
    <w:rsid w:val="0092430E"/>
    <w:rsid w:val="00927274"/>
    <w:rsid w:val="00931945"/>
    <w:rsid w:val="00932042"/>
    <w:rsid w:val="00937146"/>
    <w:rsid w:val="00937431"/>
    <w:rsid w:val="009376DA"/>
    <w:rsid w:val="00941426"/>
    <w:rsid w:val="00946694"/>
    <w:rsid w:val="00961505"/>
    <w:rsid w:val="00970F9B"/>
    <w:rsid w:val="0097752F"/>
    <w:rsid w:val="0099055E"/>
    <w:rsid w:val="00990DB3"/>
    <w:rsid w:val="009950D6"/>
    <w:rsid w:val="009A1E4D"/>
    <w:rsid w:val="009A3668"/>
    <w:rsid w:val="009A3981"/>
    <w:rsid w:val="009B2281"/>
    <w:rsid w:val="009B4057"/>
    <w:rsid w:val="009C4329"/>
    <w:rsid w:val="009E0074"/>
    <w:rsid w:val="009E75A5"/>
    <w:rsid w:val="009F2E84"/>
    <w:rsid w:val="00A02F99"/>
    <w:rsid w:val="00A030A2"/>
    <w:rsid w:val="00A07E66"/>
    <w:rsid w:val="00A10379"/>
    <w:rsid w:val="00A2050B"/>
    <w:rsid w:val="00A2071D"/>
    <w:rsid w:val="00A21618"/>
    <w:rsid w:val="00A23BAA"/>
    <w:rsid w:val="00A2549A"/>
    <w:rsid w:val="00A4277A"/>
    <w:rsid w:val="00A4289D"/>
    <w:rsid w:val="00A4452D"/>
    <w:rsid w:val="00A46FA5"/>
    <w:rsid w:val="00A53BF5"/>
    <w:rsid w:val="00A54357"/>
    <w:rsid w:val="00A549C7"/>
    <w:rsid w:val="00A60DEB"/>
    <w:rsid w:val="00A67A0D"/>
    <w:rsid w:val="00A76757"/>
    <w:rsid w:val="00A767A9"/>
    <w:rsid w:val="00A80DB3"/>
    <w:rsid w:val="00A83D8F"/>
    <w:rsid w:val="00A83F24"/>
    <w:rsid w:val="00A85E07"/>
    <w:rsid w:val="00A911C2"/>
    <w:rsid w:val="00A92641"/>
    <w:rsid w:val="00A92D74"/>
    <w:rsid w:val="00A96A20"/>
    <w:rsid w:val="00AA25BC"/>
    <w:rsid w:val="00AA579A"/>
    <w:rsid w:val="00AA6396"/>
    <w:rsid w:val="00AA7CD1"/>
    <w:rsid w:val="00AB085E"/>
    <w:rsid w:val="00AB7D3C"/>
    <w:rsid w:val="00AF379E"/>
    <w:rsid w:val="00AF49E1"/>
    <w:rsid w:val="00AF5588"/>
    <w:rsid w:val="00AF7587"/>
    <w:rsid w:val="00B015E4"/>
    <w:rsid w:val="00B05464"/>
    <w:rsid w:val="00B0668D"/>
    <w:rsid w:val="00B07CE8"/>
    <w:rsid w:val="00B1455D"/>
    <w:rsid w:val="00B162F0"/>
    <w:rsid w:val="00B175CE"/>
    <w:rsid w:val="00B20282"/>
    <w:rsid w:val="00B23005"/>
    <w:rsid w:val="00B32C68"/>
    <w:rsid w:val="00B3328E"/>
    <w:rsid w:val="00B34D01"/>
    <w:rsid w:val="00B35BC9"/>
    <w:rsid w:val="00B36406"/>
    <w:rsid w:val="00B41369"/>
    <w:rsid w:val="00B42210"/>
    <w:rsid w:val="00B5300E"/>
    <w:rsid w:val="00B53E15"/>
    <w:rsid w:val="00B54B58"/>
    <w:rsid w:val="00B55AE3"/>
    <w:rsid w:val="00B60B5D"/>
    <w:rsid w:val="00B61311"/>
    <w:rsid w:val="00B6253D"/>
    <w:rsid w:val="00B65D04"/>
    <w:rsid w:val="00B70E4F"/>
    <w:rsid w:val="00B74840"/>
    <w:rsid w:val="00B76669"/>
    <w:rsid w:val="00B76ACD"/>
    <w:rsid w:val="00B821C3"/>
    <w:rsid w:val="00B83398"/>
    <w:rsid w:val="00B84AD5"/>
    <w:rsid w:val="00B85625"/>
    <w:rsid w:val="00B873E5"/>
    <w:rsid w:val="00B90E5F"/>
    <w:rsid w:val="00B91430"/>
    <w:rsid w:val="00B936A0"/>
    <w:rsid w:val="00B95F48"/>
    <w:rsid w:val="00B9774D"/>
    <w:rsid w:val="00BA1BB3"/>
    <w:rsid w:val="00BA4500"/>
    <w:rsid w:val="00BB354A"/>
    <w:rsid w:val="00BB4258"/>
    <w:rsid w:val="00BC018C"/>
    <w:rsid w:val="00BC5DD6"/>
    <w:rsid w:val="00BC67C9"/>
    <w:rsid w:val="00BC7B48"/>
    <w:rsid w:val="00BD032F"/>
    <w:rsid w:val="00BD17B6"/>
    <w:rsid w:val="00BD55F0"/>
    <w:rsid w:val="00BD75FB"/>
    <w:rsid w:val="00BE1575"/>
    <w:rsid w:val="00BE3C44"/>
    <w:rsid w:val="00BE76F6"/>
    <w:rsid w:val="00BF06B4"/>
    <w:rsid w:val="00BF18C9"/>
    <w:rsid w:val="00BF589A"/>
    <w:rsid w:val="00C03EC2"/>
    <w:rsid w:val="00C05083"/>
    <w:rsid w:val="00C05A2E"/>
    <w:rsid w:val="00C11248"/>
    <w:rsid w:val="00C130F1"/>
    <w:rsid w:val="00C1565C"/>
    <w:rsid w:val="00C17E60"/>
    <w:rsid w:val="00C23CF1"/>
    <w:rsid w:val="00C24637"/>
    <w:rsid w:val="00C27FF8"/>
    <w:rsid w:val="00C36DA0"/>
    <w:rsid w:val="00C43BA0"/>
    <w:rsid w:val="00C43C70"/>
    <w:rsid w:val="00C46527"/>
    <w:rsid w:val="00C509BC"/>
    <w:rsid w:val="00C52E8E"/>
    <w:rsid w:val="00C57815"/>
    <w:rsid w:val="00C64116"/>
    <w:rsid w:val="00C75984"/>
    <w:rsid w:val="00C75C1D"/>
    <w:rsid w:val="00C8639C"/>
    <w:rsid w:val="00C95D3B"/>
    <w:rsid w:val="00C977C0"/>
    <w:rsid w:val="00CA1500"/>
    <w:rsid w:val="00CA4598"/>
    <w:rsid w:val="00CA6627"/>
    <w:rsid w:val="00CA73E1"/>
    <w:rsid w:val="00CB193A"/>
    <w:rsid w:val="00CB4C89"/>
    <w:rsid w:val="00CB6C4B"/>
    <w:rsid w:val="00CB7016"/>
    <w:rsid w:val="00CC425E"/>
    <w:rsid w:val="00CC4BBD"/>
    <w:rsid w:val="00CC4E05"/>
    <w:rsid w:val="00CD2589"/>
    <w:rsid w:val="00CD5296"/>
    <w:rsid w:val="00CD6868"/>
    <w:rsid w:val="00CE42B4"/>
    <w:rsid w:val="00CE4B6C"/>
    <w:rsid w:val="00CE5E13"/>
    <w:rsid w:val="00CF46B7"/>
    <w:rsid w:val="00CF5C47"/>
    <w:rsid w:val="00CF7230"/>
    <w:rsid w:val="00D0524A"/>
    <w:rsid w:val="00D0661B"/>
    <w:rsid w:val="00D104DF"/>
    <w:rsid w:val="00D14665"/>
    <w:rsid w:val="00D20CC1"/>
    <w:rsid w:val="00D20DC0"/>
    <w:rsid w:val="00D20E83"/>
    <w:rsid w:val="00D30372"/>
    <w:rsid w:val="00D421E2"/>
    <w:rsid w:val="00D42F03"/>
    <w:rsid w:val="00D47D90"/>
    <w:rsid w:val="00D6082E"/>
    <w:rsid w:val="00D617A0"/>
    <w:rsid w:val="00D61D84"/>
    <w:rsid w:val="00D633A5"/>
    <w:rsid w:val="00D65996"/>
    <w:rsid w:val="00D70793"/>
    <w:rsid w:val="00D733D4"/>
    <w:rsid w:val="00D81056"/>
    <w:rsid w:val="00D92ABE"/>
    <w:rsid w:val="00D945AE"/>
    <w:rsid w:val="00D94706"/>
    <w:rsid w:val="00D96EBC"/>
    <w:rsid w:val="00DA09EC"/>
    <w:rsid w:val="00DA7086"/>
    <w:rsid w:val="00DB484D"/>
    <w:rsid w:val="00DB5D24"/>
    <w:rsid w:val="00DC21AF"/>
    <w:rsid w:val="00DC555F"/>
    <w:rsid w:val="00DD2AFF"/>
    <w:rsid w:val="00DD4FEF"/>
    <w:rsid w:val="00DD54D2"/>
    <w:rsid w:val="00DD724B"/>
    <w:rsid w:val="00DE5449"/>
    <w:rsid w:val="00DE67B5"/>
    <w:rsid w:val="00DF2F8D"/>
    <w:rsid w:val="00DF2FF1"/>
    <w:rsid w:val="00DF30F1"/>
    <w:rsid w:val="00DF3F8A"/>
    <w:rsid w:val="00DF41FF"/>
    <w:rsid w:val="00DF4265"/>
    <w:rsid w:val="00E027FE"/>
    <w:rsid w:val="00E03396"/>
    <w:rsid w:val="00E10D3F"/>
    <w:rsid w:val="00E21B4A"/>
    <w:rsid w:val="00E21CF8"/>
    <w:rsid w:val="00E259E1"/>
    <w:rsid w:val="00E3116C"/>
    <w:rsid w:val="00E34043"/>
    <w:rsid w:val="00E41E0F"/>
    <w:rsid w:val="00E444BB"/>
    <w:rsid w:val="00E52389"/>
    <w:rsid w:val="00E52D16"/>
    <w:rsid w:val="00E561BF"/>
    <w:rsid w:val="00E570A9"/>
    <w:rsid w:val="00E633BA"/>
    <w:rsid w:val="00E633CA"/>
    <w:rsid w:val="00E75163"/>
    <w:rsid w:val="00E80E0B"/>
    <w:rsid w:val="00E817D4"/>
    <w:rsid w:val="00E87FC3"/>
    <w:rsid w:val="00E91320"/>
    <w:rsid w:val="00E937A3"/>
    <w:rsid w:val="00EA10F8"/>
    <w:rsid w:val="00EA1845"/>
    <w:rsid w:val="00EB3DF3"/>
    <w:rsid w:val="00EC0894"/>
    <w:rsid w:val="00EC6EEA"/>
    <w:rsid w:val="00EC7D9F"/>
    <w:rsid w:val="00ED23AE"/>
    <w:rsid w:val="00ED7F0F"/>
    <w:rsid w:val="00EE4DD0"/>
    <w:rsid w:val="00EE7CC9"/>
    <w:rsid w:val="00F02350"/>
    <w:rsid w:val="00F14A25"/>
    <w:rsid w:val="00F155A6"/>
    <w:rsid w:val="00F15EE1"/>
    <w:rsid w:val="00F1799A"/>
    <w:rsid w:val="00F23854"/>
    <w:rsid w:val="00F268D2"/>
    <w:rsid w:val="00F30CE0"/>
    <w:rsid w:val="00F32DCF"/>
    <w:rsid w:val="00F40A6E"/>
    <w:rsid w:val="00F41FDB"/>
    <w:rsid w:val="00F42490"/>
    <w:rsid w:val="00F43781"/>
    <w:rsid w:val="00F43C7A"/>
    <w:rsid w:val="00F44CF2"/>
    <w:rsid w:val="00F454FA"/>
    <w:rsid w:val="00F577DD"/>
    <w:rsid w:val="00F64126"/>
    <w:rsid w:val="00F72F10"/>
    <w:rsid w:val="00F75E20"/>
    <w:rsid w:val="00F8100D"/>
    <w:rsid w:val="00F83469"/>
    <w:rsid w:val="00F915AA"/>
    <w:rsid w:val="00F92781"/>
    <w:rsid w:val="00F92816"/>
    <w:rsid w:val="00F97033"/>
    <w:rsid w:val="00F97AA5"/>
    <w:rsid w:val="00FA22A0"/>
    <w:rsid w:val="00FA4C85"/>
    <w:rsid w:val="00FB07DB"/>
    <w:rsid w:val="00FB0DBB"/>
    <w:rsid w:val="00FB3136"/>
    <w:rsid w:val="00FB4D9A"/>
    <w:rsid w:val="00FC2510"/>
    <w:rsid w:val="00FC7590"/>
    <w:rsid w:val="00FD1273"/>
    <w:rsid w:val="00FD6FA8"/>
    <w:rsid w:val="00FE0FCD"/>
    <w:rsid w:val="00FE32A1"/>
    <w:rsid w:val="00FE4E75"/>
    <w:rsid w:val="00FE6BB1"/>
    <w:rsid w:val="00FE75CB"/>
    <w:rsid w:val="00FE7A16"/>
    <w:rsid w:val="00FF1B20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2D9"/>
  <w15:chartTrackingRefBased/>
  <w15:docId w15:val="{B477FA64-2DEC-4CC5-A43A-A00349B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89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D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B3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D01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34D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D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4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6C1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C1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C018C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E5449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D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D2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8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D2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83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2014" TargetMode="External"/><Relationship Id="rId18" Type="http://schemas.openxmlformats.org/officeDocument/2006/relationships/hyperlink" Target="https://hko.srce.hr/registar/skup-ishoda-ucenja/detalji/11773" TargetMode="External"/><Relationship Id="rId26" Type="http://schemas.openxmlformats.org/officeDocument/2006/relationships/hyperlink" Target="https://hko.srce.hr/registar/skup-ishoda-ucenja/detalji/117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68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017" TargetMode="External"/><Relationship Id="rId17" Type="http://schemas.openxmlformats.org/officeDocument/2006/relationships/hyperlink" Target="https://hko.srce.hr/registar/skup-ishoda-ucenja/detalji/11772" TargetMode="External"/><Relationship Id="rId25" Type="http://schemas.openxmlformats.org/officeDocument/2006/relationships/hyperlink" Target="https://hko.srce.hr/registar/skup-ishoda-ucenja/detalji/1175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406" TargetMode="External"/><Relationship Id="rId20" Type="http://schemas.openxmlformats.org/officeDocument/2006/relationships/hyperlink" Target="https://hko.srce.hr/registar/skup-ishoda-ucenja/detalji/11750" TargetMode="External"/><Relationship Id="rId29" Type="http://schemas.openxmlformats.org/officeDocument/2006/relationships/hyperlink" Target="https://hko.srce.hr/registar/skup-ishoda-ucenja/detalji/1177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38" TargetMode="External"/><Relationship Id="rId24" Type="http://schemas.openxmlformats.org/officeDocument/2006/relationships/hyperlink" Target="https://hko.srce.hr/registar/skup-ishoda-ucenja/detalji/11774" TargetMode="External"/><Relationship Id="rId32" Type="http://schemas.openxmlformats.org/officeDocument/2006/relationships/hyperlink" Target="https://hko.srce.hr/registar/skup-ishoda-ucenja/detalji/117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2015" TargetMode="External"/><Relationship Id="rId23" Type="http://schemas.openxmlformats.org/officeDocument/2006/relationships/hyperlink" Target="https://hko.srce.hr/registar/skup-ishoda-ucenja/detalji/11773" TargetMode="External"/><Relationship Id="rId28" Type="http://schemas.openxmlformats.org/officeDocument/2006/relationships/hyperlink" Target="https://hko.srce.hr/registar/skup-ishoda-ucenja/detalji/117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1774" TargetMode="External"/><Relationship Id="rId31" Type="http://schemas.openxmlformats.org/officeDocument/2006/relationships/hyperlink" Target="https://hko.srce.hr/registar/skup-ishoda-ucenja/detalji/1177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2023" TargetMode="External"/><Relationship Id="rId22" Type="http://schemas.openxmlformats.org/officeDocument/2006/relationships/hyperlink" Target="https://hko.srce.hr/registar/skup-ishoda-ucenja/detalji/11772" TargetMode="External"/><Relationship Id="rId27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30" Type="http://schemas.openxmlformats.org/officeDocument/2006/relationships/hyperlink" Target="https://hko.srce.hr/registar/skup-ishoda-ucenja/detalji/11773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D4E4-D065-4FF7-9EA8-1F2AB7987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D555F-C1E9-4FC8-8361-87A432CFCE0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15E3F5F4-701B-4DE2-B70D-5DDA63D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3F37D-6383-47F7-8063-B7027F6D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4840</Words>
  <Characters>27593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Student Jedan</cp:lastModifiedBy>
  <cp:revision>3</cp:revision>
  <dcterms:created xsi:type="dcterms:W3CDTF">2025-05-14T12:07:00Z</dcterms:created>
  <dcterms:modified xsi:type="dcterms:W3CDTF">2025-05-14T12:07:00Z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