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47F8" w14:textId="77777777" w:rsidR="00FB0D00" w:rsidRPr="00DF273E" w:rsidRDefault="00FB0D00" w:rsidP="00FB0D00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3E0921E9" w14:textId="77777777" w:rsidR="00146446" w:rsidRPr="000C55F0" w:rsidRDefault="00146446" w:rsidP="00146446">
      <w:pPr>
        <w:jc w:val="center"/>
        <w:rPr>
          <w:b/>
          <w:bCs/>
          <w:sz w:val="28"/>
          <w:szCs w:val="28"/>
        </w:rPr>
      </w:pPr>
      <w:r w:rsidRPr="000C55F0">
        <w:rPr>
          <w:b/>
          <w:bCs/>
          <w:sz w:val="28"/>
          <w:szCs w:val="28"/>
        </w:rPr>
        <w:t>Naziv i adresa ustanove</w:t>
      </w:r>
    </w:p>
    <w:p w14:paraId="6F7815CE" w14:textId="77777777" w:rsidR="00FB0D00" w:rsidRPr="00DF273E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BBB53AA" w14:textId="77777777" w:rsidR="00FB0D00" w:rsidRPr="00DF273E" w:rsidRDefault="00FB0D00" w:rsidP="00AF57FB">
      <w:pPr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5C85A5C1" w14:textId="77777777" w:rsidR="00FB0D00" w:rsidRPr="00DF273E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52033A0" w14:textId="77777777" w:rsidR="00995344" w:rsidRDefault="007A38E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DF273E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</w:t>
      </w:r>
      <w:r w:rsidR="00995344">
        <w:rPr>
          <w:rFonts w:asciiTheme="minorHAnsi" w:hAnsiTheme="minorHAnsi" w:cstheme="minorHAnsi"/>
          <w:b/>
          <w:bCs/>
          <w:sz w:val="48"/>
          <w:szCs w:val="48"/>
          <w:lang w:val="hr-HR"/>
        </w:rPr>
        <w:t>obrazovanja</w:t>
      </w:r>
    </w:p>
    <w:p w14:paraId="78B97D0E" w14:textId="77777777" w:rsidR="00995344" w:rsidRDefault="007A38E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DF273E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</w:t>
      </w:r>
      <w:proofErr w:type="spellStart"/>
      <w:r w:rsidRPr="00DF273E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  <w:r w:rsidRPr="00DF273E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0E34C6D7" w14:textId="2F6960F6" w:rsidR="00FB0D00" w:rsidRDefault="00716D85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DF273E">
        <w:rPr>
          <w:rFonts w:asciiTheme="minorHAnsi" w:hAnsiTheme="minorHAnsi" w:cstheme="minorHAnsi"/>
          <w:b/>
          <w:bCs/>
          <w:sz w:val="48"/>
          <w:szCs w:val="48"/>
          <w:lang w:val="hr-HR"/>
        </w:rPr>
        <w:t>servisiranje i održavanje baterija HEV/EV</w:t>
      </w:r>
    </w:p>
    <w:p w14:paraId="7FB3AF31" w14:textId="77777777" w:rsidR="00FB0D00" w:rsidRPr="00DF273E" w:rsidRDefault="00FB0D00" w:rsidP="00AF57FB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B54E0E4" w14:textId="77777777" w:rsidR="00FB0D00" w:rsidRPr="00DF273E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244487E" w14:textId="77777777" w:rsidR="00FB0D00" w:rsidRPr="00DF273E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09DF66B" w14:textId="77777777" w:rsidR="00FB0D00" w:rsidRPr="00DF273E" w:rsidRDefault="00FB0D00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7034F66" w14:textId="54B11A29" w:rsidR="001E4AE6" w:rsidRDefault="001E4AE6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9457322" w14:textId="685EA9D4" w:rsidR="00146446" w:rsidRDefault="00146446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2A618FD" w14:textId="77777777" w:rsidR="00146446" w:rsidRPr="00DF273E" w:rsidRDefault="00146446" w:rsidP="00CB3495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BFBE7FE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377CF8C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AD0E40E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1786C6B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4A87957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E807D7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CAB4A61" w14:textId="77777777" w:rsidR="00146446" w:rsidRDefault="00146446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509BE71" w14:textId="0CC363BF" w:rsidR="00FB0D00" w:rsidRPr="00995344" w:rsidRDefault="00A774A6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hr-HR"/>
        </w:rPr>
        <w:t>Mjesto</w:t>
      </w:r>
      <w:r w:rsidR="001E4AE6" w:rsidRPr="00995344">
        <w:rPr>
          <w:rFonts w:asciiTheme="minorHAnsi" w:hAnsiTheme="minorHAnsi" w:cstheme="minorHAnsi"/>
          <w:b/>
          <w:bCs/>
          <w:sz w:val="28"/>
          <w:szCs w:val="28"/>
          <w:lang w:val="hr-HR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  <w:lang w:val="hr-HR"/>
        </w:rPr>
        <w:t>datum</w:t>
      </w:r>
    </w:p>
    <w:p w14:paraId="01DBCC59" w14:textId="77777777" w:rsidR="00C759FB" w:rsidRPr="00DF273E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DF273E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5"/>
        <w:gridCol w:w="1332"/>
        <w:gridCol w:w="2130"/>
        <w:gridCol w:w="2558"/>
      </w:tblGrid>
      <w:tr w:rsidR="00C759FB" w:rsidRPr="00DF273E" w14:paraId="5EE3D629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83B16E5" w14:textId="77777777" w:rsidR="00C759FB" w:rsidRPr="00DF273E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3DEA419C" w14:textId="77777777" w:rsidR="00C759FB" w:rsidRPr="00DF273E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MIKROKVALIFIKACIJE/DJELOMIČNE/CJELOVITE KVALIFIKACIJE</w:t>
            </w:r>
          </w:p>
        </w:tc>
      </w:tr>
      <w:tr w:rsidR="00C759FB" w:rsidRPr="00DF273E" w14:paraId="469DD101" w14:textId="77777777" w:rsidTr="00A62380">
        <w:trPr>
          <w:trHeight w:val="304"/>
        </w:trPr>
        <w:tc>
          <w:tcPr>
            <w:tcW w:w="1823" w:type="pct"/>
            <w:shd w:val="clear" w:color="auto" w:fill="B8CCE4"/>
            <w:hideMark/>
          </w:tcPr>
          <w:p w14:paraId="659BD096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259E07B3" w14:textId="02515052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177" w:type="pct"/>
            <w:gridSpan w:val="3"/>
          </w:tcPr>
          <w:p w14:paraId="3A9A2582" w14:textId="77777777" w:rsidR="00C759FB" w:rsidRPr="00DF273E" w:rsidRDefault="00052C8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DF273E" w14:paraId="67881F89" w14:textId="77777777" w:rsidTr="00A62380">
        <w:trPr>
          <w:trHeight w:val="314"/>
        </w:trPr>
        <w:tc>
          <w:tcPr>
            <w:tcW w:w="1823" w:type="pct"/>
            <w:shd w:val="clear" w:color="auto" w:fill="B8CCE4"/>
            <w:hideMark/>
          </w:tcPr>
          <w:p w14:paraId="2F67F8F8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177" w:type="pct"/>
            <w:gridSpan w:val="3"/>
            <w:vAlign w:val="center"/>
          </w:tcPr>
          <w:p w14:paraId="42C70142" w14:textId="142B62F1" w:rsidR="00C759FB" w:rsidRPr="00DF273E" w:rsidRDefault="00A856F9" w:rsidP="00A5330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</w:t>
            </w:r>
            <w:r w:rsidR="00A774A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obrazovanja </w:t>
            </w: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 stjecanje mikrokvalifikacije </w:t>
            </w:r>
            <w:r w:rsidR="00032212" w:rsidRPr="0003221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servisiranje i održavanje baterija HEV/EV</w:t>
            </w:r>
          </w:p>
        </w:tc>
      </w:tr>
      <w:tr w:rsidR="00C759FB" w:rsidRPr="00DF273E" w14:paraId="66D3C674" w14:textId="77777777" w:rsidTr="00A62380">
        <w:trPr>
          <w:trHeight w:val="304"/>
        </w:trPr>
        <w:tc>
          <w:tcPr>
            <w:tcW w:w="1823" w:type="pct"/>
            <w:shd w:val="clear" w:color="auto" w:fill="B8CCE4"/>
            <w:hideMark/>
          </w:tcPr>
          <w:p w14:paraId="6C2EAD73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177" w:type="pct"/>
            <w:gridSpan w:val="3"/>
            <w:vAlign w:val="center"/>
          </w:tcPr>
          <w:p w14:paraId="55C0F715" w14:textId="77777777" w:rsidR="00C759FB" w:rsidRPr="00DF273E" w:rsidRDefault="007A38E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DF273E" w14:paraId="32BC6DB5" w14:textId="77777777" w:rsidTr="00A62380">
        <w:trPr>
          <w:trHeight w:val="329"/>
        </w:trPr>
        <w:tc>
          <w:tcPr>
            <w:tcW w:w="1823" w:type="pct"/>
            <w:vMerge w:val="restart"/>
            <w:shd w:val="clear" w:color="auto" w:fill="B8CCE4"/>
            <w:hideMark/>
          </w:tcPr>
          <w:p w14:paraId="65714A92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3" w:type="pct"/>
            <w:shd w:val="clear" w:color="auto" w:fill="BDD6EE" w:themeFill="accent5" w:themeFillTint="66"/>
            <w:hideMark/>
          </w:tcPr>
          <w:p w14:paraId="4646BB99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474" w:type="pct"/>
            <w:gridSpan w:val="2"/>
            <w:vAlign w:val="center"/>
          </w:tcPr>
          <w:p w14:paraId="2297C063" w14:textId="3ED64A3D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5450008C" w14:textId="77777777" w:rsidTr="00A62380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01C98722" w14:textId="77777777" w:rsidR="00C759FB" w:rsidRPr="00DF273E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3" w:type="pct"/>
            <w:shd w:val="clear" w:color="auto" w:fill="BDD6EE" w:themeFill="accent5" w:themeFillTint="66"/>
            <w:hideMark/>
          </w:tcPr>
          <w:p w14:paraId="2B51D6AE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474" w:type="pct"/>
            <w:gridSpan w:val="2"/>
            <w:vAlign w:val="center"/>
          </w:tcPr>
          <w:p w14:paraId="7DA594F2" w14:textId="3DEAD450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50B6C9F7" w14:textId="77777777" w:rsidTr="00A62380">
        <w:trPr>
          <w:trHeight w:val="827"/>
        </w:trPr>
        <w:tc>
          <w:tcPr>
            <w:tcW w:w="1823" w:type="pct"/>
            <w:shd w:val="clear" w:color="auto" w:fill="B8CCE4"/>
            <w:hideMark/>
          </w:tcPr>
          <w:p w14:paraId="1C31E5C9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177" w:type="pct"/>
            <w:gridSpan w:val="3"/>
            <w:vAlign w:val="center"/>
            <w:hideMark/>
          </w:tcPr>
          <w:p w14:paraId="63358FC9" w14:textId="673027A3" w:rsidR="0022758F" w:rsidRPr="0022758F" w:rsidRDefault="002D5233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Kvalifikacija razine 4</w:t>
            </w:r>
          </w:p>
          <w:p w14:paraId="157DE573" w14:textId="3DC254A2" w:rsidR="001B061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006C85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Sigurnosni zahtjevi povezani s hibridnim i električnim vozilima </w:t>
            </w:r>
            <w:r w:rsidR="001B06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1490B37" w14:textId="1EEDBE9E" w:rsidR="00C759FB" w:rsidRPr="00DF273E" w:rsidRDefault="001B0613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</w:t>
            </w:r>
            <w:r w:rsidR="001A2C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006C85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="00CE7C71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1A2C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A40037D" w14:textId="57C8B9F4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8867FE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Servisiranje i održavanje baterija HEV/EV</w:t>
            </w:r>
            <w:r w:rsidR="001A2C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06C85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="00CE7C71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1A2C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4D2A953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2B62F990" w14:textId="77777777" w:rsidTr="00A62380">
        <w:trPr>
          <w:trHeight w:val="539"/>
        </w:trPr>
        <w:tc>
          <w:tcPr>
            <w:tcW w:w="1823" w:type="pct"/>
            <w:shd w:val="clear" w:color="auto" w:fill="B8CCE4"/>
            <w:hideMark/>
          </w:tcPr>
          <w:p w14:paraId="0F6EE977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177" w:type="pct"/>
            <w:gridSpan w:val="3"/>
            <w:vAlign w:val="center"/>
          </w:tcPr>
          <w:p w14:paraId="44F20330" w14:textId="1D919F43" w:rsidR="001A2C8D" w:rsidRPr="001A2C8D" w:rsidRDefault="001A2C8D" w:rsidP="007A38E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2 CSVET </w:t>
            </w:r>
          </w:p>
          <w:p w14:paraId="5C8318A3" w14:textId="1371171E" w:rsidR="001B0613" w:rsidRDefault="007A38E8" w:rsidP="007A38E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006C85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Sigurnosni zahtjevi povezani s hibridnim i električnim </w:t>
            </w:r>
            <w:r w:rsidR="001B779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vozilima</w:t>
            </w:r>
            <w:r w:rsidR="001B06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</w:t>
            </w:r>
            <w:r w:rsidR="00006C85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B06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FF40D0" w14:textId="754DAB3E" w:rsidR="007A38E8" w:rsidRPr="00DF273E" w:rsidRDefault="001B0613" w:rsidP="007A38E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</w:t>
            </w:r>
            <w:r w:rsidR="001A2C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7A38E8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 CSVET</w:t>
            </w:r>
            <w:r w:rsidR="001A2C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04116BD8" w14:textId="2B74A53B" w:rsidR="007A38E8" w:rsidRPr="00DF273E" w:rsidRDefault="007A38E8" w:rsidP="007A38E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</w:t>
            </w:r>
            <w:r w:rsidR="00006C85" w:rsidRPr="00DF273E">
              <w:rPr>
                <w:sz w:val="20"/>
                <w:szCs w:val="20"/>
                <w:lang w:val="hr-HR"/>
              </w:rPr>
              <w:t xml:space="preserve"> </w:t>
            </w:r>
            <w:r w:rsidR="008867FE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Servisiranje i održavanje baterija HEV/EV</w:t>
            </w:r>
            <w:r w:rsidR="00006C85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A2C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8867FE"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1A2C8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DF273E" w14:paraId="7A95F64E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F0CD6B7" w14:textId="77777777" w:rsidR="00C759FB" w:rsidRPr="00DF273E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DF273E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DF273E" w14:paraId="67BF9DB1" w14:textId="77777777" w:rsidTr="00A62380">
        <w:trPr>
          <w:trHeight w:val="951"/>
        </w:trPr>
        <w:tc>
          <w:tcPr>
            <w:tcW w:w="1823" w:type="pct"/>
            <w:shd w:val="clear" w:color="auto" w:fill="B8CCE4"/>
            <w:hideMark/>
          </w:tcPr>
          <w:p w14:paraId="661707A5" w14:textId="34F39FEA" w:rsidR="00C759FB" w:rsidRPr="00DF273E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zanimanja/skupova kompetencija </w:t>
            </w:r>
          </w:p>
        </w:tc>
        <w:tc>
          <w:tcPr>
            <w:tcW w:w="1827" w:type="pct"/>
            <w:gridSpan w:val="2"/>
            <w:shd w:val="clear" w:color="auto" w:fill="B8CCE4"/>
            <w:hideMark/>
          </w:tcPr>
          <w:p w14:paraId="6D55AB27" w14:textId="77D46744" w:rsidR="00C759FB" w:rsidRPr="00DF273E" w:rsidRDefault="001A2C8D" w:rsidP="001A2C8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/skupova ishoda učenja</w:t>
            </w:r>
          </w:p>
        </w:tc>
        <w:tc>
          <w:tcPr>
            <w:tcW w:w="1350" w:type="pct"/>
            <w:shd w:val="clear" w:color="auto" w:fill="B8CCE4"/>
            <w:hideMark/>
          </w:tcPr>
          <w:p w14:paraId="0A93EB89" w14:textId="77777777" w:rsidR="00C759FB" w:rsidRPr="00DF273E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DF273E" w14:paraId="3098B5E8" w14:textId="77777777" w:rsidTr="00A62380">
        <w:trPr>
          <w:trHeight w:val="490"/>
        </w:trPr>
        <w:tc>
          <w:tcPr>
            <w:tcW w:w="1823" w:type="pct"/>
            <w:vAlign w:val="center"/>
          </w:tcPr>
          <w:p w14:paraId="3D116E9C" w14:textId="7E05C59F" w:rsidR="00C759FB" w:rsidRPr="001A2C8D" w:rsidRDefault="001A2C8D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="007A38E8"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Automehatroničar</w:t>
            </w:r>
            <w:r w:rsidR="005F272A"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</w:t>
            </w:r>
            <w:r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F272A"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automehatroničarka</w:t>
            </w:r>
          </w:p>
          <w:p w14:paraId="60CD324F" w14:textId="58ABC1C0" w:rsidR="005F272A" w:rsidRDefault="00BD26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26797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https://hko.srce.hr/registar/standard-zanimanja/detalji/188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A080F59" w14:textId="77777777" w:rsidR="00BD2671" w:rsidRPr="00DF273E" w:rsidRDefault="00BD26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B0FE029" w14:textId="77777777" w:rsidR="000F647F" w:rsidRPr="00DF273E" w:rsidRDefault="000F647F" w:rsidP="000F647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Servisiranje i održavanje električnih i hibridnih vozila</w:t>
            </w:r>
          </w:p>
          <w:p w14:paraId="6B17481A" w14:textId="77777777" w:rsidR="000F647F" w:rsidRPr="00DF273E" w:rsidRDefault="000F647F" w:rsidP="000F647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DF273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https://hko.srce.hr/registar/skup-kompetencija/detalji/1621</w:t>
              </w:r>
            </w:hyperlink>
          </w:p>
          <w:p w14:paraId="5B705752" w14:textId="77777777" w:rsidR="0036132C" w:rsidRDefault="0036132C" w:rsidP="000F647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7360B06" w14:textId="5523DA08" w:rsidR="000F647F" w:rsidRPr="00DF273E" w:rsidRDefault="0036132C" w:rsidP="000F647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6132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Pr="0036132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Rukovanje i upravljanje dijagnostičkom opremom, alatima i uređajima radi utvrđivanja stanja vozila</w:t>
            </w:r>
          </w:p>
          <w:p w14:paraId="50FF1511" w14:textId="63F0018A" w:rsidR="0094516E" w:rsidRPr="002E3A97" w:rsidRDefault="003A7665" w:rsidP="002E3A9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20"/>
                <w:szCs w:val="20"/>
                <w:u w:val="single"/>
                <w:lang w:val="hr-HR"/>
              </w:rPr>
            </w:pPr>
            <w:hyperlink r:id="rId12" w:history="1">
              <w:r w:rsidRPr="00625AC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</w:t>
              </w:r>
              <w:r w:rsidRPr="00625ACB">
                <w:rPr>
                  <w:rStyle w:val="Hyperlink"/>
                  <w:rFonts w:asciiTheme="minorHAnsi" w:hAnsiTheme="minorHAnsi" w:cstheme="minorHAnsi"/>
                  <w:i/>
                  <w:iCs/>
                  <w:noProof/>
                  <w:sz w:val="20"/>
                  <w:szCs w:val="20"/>
                  <w:lang w:val="hr-HR"/>
                </w:rPr>
                <w:t>.</w:t>
              </w:r>
              <w:r w:rsidRPr="00625AC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srce.hr/registar/skup-kompetencija/detalji/4299</w:t>
              </w:r>
            </w:hyperlink>
            <w:r>
              <w:rPr>
                <w:rFonts w:asciiTheme="minorHAnsi" w:hAnsiTheme="minorHAnsi" w:cstheme="minorHAnsi"/>
                <w:noProof/>
                <w:color w:val="0563C1" w:themeColor="hyperlink"/>
                <w:sz w:val="20"/>
                <w:szCs w:val="20"/>
                <w:u w:val="single"/>
                <w:lang w:val="hr-HR"/>
              </w:rPr>
              <w:t xml:space="preserve"> </w:t>
            </w:r>
          </w:p>
        </w:tc>
        <w:tc>
          <w:tcPr>
            <w:tcW w:w="1827" w:type="pct"/>
            <w:gridSpan w:val="2"/>
          </w:tcPr>
          <w:p w14:paraId="64D81433" w14:textId="3E7B4DD0" w:rsidR="00C759FB" w:rsidRPr="001A2C8D" w:rsidRDefault="001A2C8D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7A38E8"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Automehatroničar</w:t>
            </w:r>
            <w:r w:rsidR="005F272A"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5F272A"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automehatroničarka</w:t>
            </w:r>
          </w:p>
          <w:p w14:paraId="508BDF5D" w14:textId="1150A39A" w:rsidR="005F272A" w:rsidRPr="00DF273E" w:rsidRDefault="00894EB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22204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https://hko.srce.hr/registar/standard-kvalifikacije/detalji/530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7E75BB4" w14:textId="77777777" w:rsidR="005F272A" w:rsidRDefault="005F272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B9A972" w14:textId="1E090A63" w:rsidR="00E41931" w:rsidRDefault="00E4193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SIU </w:t>
            </w:r>
            <w:r w:rsidR="00184AB2"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1:</w:t>
            </w:r>
            <w:r w:rsidR="00184A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84AB2" w:rsidRPr="00184A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Sigurnosni zahtjevi povezani s hibridnim i električnim vozilima</w:t>
            </w:r>
          </w:p>
          <w:p w14:paraId="63FCF199" w14:textId="77777777" w:rsidR="00E41931" w:rsidRDefault="00184AB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22204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https://hko.srce.hr/registar/skup-ishoda-ucenja/detalji/1447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6CD5227" w14:textId="77777777" w:rsidR="00184AB2" w:rsidRDefault="00184AB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B99D5E" w14:textId="77777777" w:rsidR="00184AB2" w:rsidRDefault="00184AB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A2C8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184AB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Servisiranje i održavanje baterija HEV/EV</w:t>
            </w:r>
          </w:p>
          <w:p w14:paraId="2104CFC6" w14:textId="27F537D9" w:rsidR="00184AB2" w:rsidRPr="00DF273E" w:rsidRDefault="00B2640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22204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https://hko.srce.hr/registar/skup-ishoda-ucenja/detalji/1450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50" w:type="pct"/>
            <w:vAlign w:val="center"/>
          </w:tcPr>
          <w:p w14:paraId="50A3A25D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3955FF10" w14:textId="77777777" w:rsidTr="00A62380">
        <w:trPr>
          <w:trHeight w:val="291"/>
        </w:trPr>
        <w:tc>
          <w:tcPr>
            <w:tcW w:w="1823" w:type="pct"/>
            <w:shd w:val="clear" w:color="auto" w:fill="B8CCE4"/>
            <w:hideMark/>
          </w:tcPr>
          <w:p w14:paraId="6D87633D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177" w:type="pct"/>
            <w:gridSpan w:val="3"/>
          </w:tcPr>
          <w:p w14:paraId="7DF712D1" w14:textId="4B25A16D" w:rsidR="00C759FB" w:rsidRPr="00EA77BA" w:rsidRDefault="00C1047C" w:rsidP="001A2C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EA77BA">
              <w:rPr>
                <w:sz w:val="20"/>
                <w:szCs w:val="20"/>
              </w:rPr>
              <w:t>Cjelovita kvalifikacija na razini 4</w:t>
            </w:r>
            <w:r w:rsidR="00995344" w:rsidRPr="00EA77BA">
              <w:rPr>
                <w:sz w:val="20"/>
                <w:szCs w:val="20"/>
              </w:rPr>
              <w:t>.1 (</w:t>
            </w:r>
            <w:proofErr w:type="spellStart"/>
            <w:r w:rsidR="00E86431" w:rsidRPr="00EA77BA">
              <w:rPr>
                <w:sz w:val="20"/>
                <w:szCs w:val="20"/>
              </w:rPr>
              <w:t>automehatroničar</w:t>
            </w:r>
            <w:proofErr w:type="spellEnd"/>
            <w:r w:rsidR="00E86431" w:rsidRPr="00EA77BA">
              <w:rPr>
                <w:sz w:val="20"/>
                <w:szCs w:val="20"/>
              </w:rPr>
              <w:t xml:space="preserve">, </w:t>
            </w:r>
            <w:r w:rsidR="005F272A" w:rsidRPr="00EA77BA">
              <w:rPr>
                <w:sz w:val="20"/>
                <w:szCs w:val="20"/>
              </w:rPr>
              <w:t>automehaničar</w:t>
            </w:r>
            <w:r w:rsidR="008D4793" w:rsidRPr="00EA77BA">
              <w:rPr>
                <w:sz w:val="20"/>
                <w:szCs w:val="20"/>
              </w:rPr>
              <w:t xml:space="preserve"> ili autoelektričar</w:t>
            </w:r>
            <w:r w:rsidR="00995344" w:rsidRPr="00EA77BA">
              <w:rPr>
                <w:sz w:val="20"/>
                <w:szCs w:val="20"/>
              </w:rPr>
              <w:t>)</w:t>
            </w:r>
          </w:p>
          <w:p w14:paraId="0A99DF47" w14:textId="2ECFB0BE" w:rsidR="00006C85" w:rsidRPr="00EA77BA" w:rsidRDefault="00006C85" w:rsidP="001A2C8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A77BA">
              <w:rPr>
                <w:rFonts w:cstheme="minorHAnsi"/>
                <w:noProof/>
                <w:sz w:val="20"/>
                <w:szCs w:val="20"/>
              </w:rPr>
              <w:t>Najmanje 18 godina života</w:t>
            </w:r>
          </w:p>
          <w:p w14:paraId="4C176A4E" w14:textId="2E41244F" w:rsidR="002866D8" w:rsidRPr="002866D8" w:rsidRDefault="00006C85" w:rsidP="002866D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  <w:r w:rsidRPr="00EA77BA">
              <w:rPr>
                <w:rFonts w:cstheme="minorHAnsi"/>
                <w:noProof/>
                <w:sz w:val="20"/>
                <w:szCs w:val="20"/>
              </w:rPr>
              <w:t xml:space="preserve">Liječničko uvjerenje medicine rada o zdravstvenoj sposobnosti za </w:t>
            </w:r>
            <w:r w:rsidR="008D4793" w:rsidRPr="00EA77BA">
              <w:rPr>
                <w:rFonts w:cstheme="minorHAnsi"/>
                <w:noProof/>
                <w:sz w:val="20"/>
                <w:szCs w:val="20"/>
              </w:rPr>
              <w:t>obavljanje poslova</w:t>
            </w:r>
          </w:p>
        </w:tc>
      </w:tr>
      <w:tr w:rsidR="00C759FB" w:rsidRPr="00DF273E" w14:paraId="2996D781" w14:textId="77777777" w:rsidTr="00A62380">
        <w:trPr>
          <w:trHeight w:val="732"/>
        </w:trPr>
        <w:tc>
          <w:tcPr>
            <w:tcW w:w="1823" w:type="pct"/>
            <w:shd w:val="clear" w:color="auto" w:fill="B8CCE4"/>
            <w:hideMark/>
          </w:tcPr>
          <w:p w14:paraId="3326E2A7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177" w:type="pct"/>
            <w:gridSpan w:val="3"/>
          </w:tcPr>
          <w:p w14:paraId="75D1F256" w14:textId="15D92EFE" w:rsidR="00C1047C" w:rsidRPr="0083071B" w:rsidRDefault="00C1047C" w:rsidP="001A2C8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  <w:r w:rsidRPr="0083071B">
              <w:rPr>
                <w:sz w:val="20"/>
                <w:szCs w:val="20"/>
              </w:rPr>
              <w:t xml:space="preserve">Stečenih </w:t>
            </w:r>
            <w:r w:rsidR="008867FE" w:rsidRPr="0083071B">
              <w:rPr>
                <w:sz w:val="20"/>
                <w:szCs w:val="20"/>
              </w:rPr>
              <w:t>2</w:t>
            </w:r>
            <w:r w:rsidRPr="0083071B">
              <w:rPr>
                <w:sz w:val="20"/>
                <w:szCs w:val="20"/>
              </w:rPr>
              <w:t xml:space="preserve"> CSVET boda</w:t>
            </w:r>
          </w:p>
          <w:p w14:paraId="124ACCFF" w14:textId="77777777" w:rsidR="00C759FB" w:rsidRPr="0083071B" w:rsidRDefault="00C1047C" w:rsidP="001A2C8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</w:rPr>
            </w:pPr>
            <w:r w:rsidRPr="0083071B">
              <w:rPr>
                <w:sz w:val="20"/>
                <w:szCs w:val="20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5AA720EF" w14:textId="77777777" w:rsidR="00C1047C" w:rsidRPr="00DF273E" w:rsidRDefault="00C1047C" w:rsidP="0083071B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58A769E8" w14:textId="0D5DA9B9" w:rsidR="00C1047C" w:rsidRPr="00DF273E" w:rsidRDefault="00C1047C" w:rsidP="0083071B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 xml:space="preserve">Svakom polazniku nakon uspješno završene završne provjere izdaje se Uvjerenje o </w:t>
            </w:r>
            <w:r w:rsidR="00212195" w:rsidRPr="00DF273E">
              <w:rPr>
                <w:sz w:val="20"/>
                <w:szCs w:val="20"/>
                <w:lang w:val="hr-HR"/>
              </w:rPr>
              <w:t>usavršavanju</w:t>
            </w:r>
            <w:r w:rsidRPr="00DF273E">
              <w:rPr>
                <w:sz w:val="20"/>
                <w:szCs w:val="20"/>
                <w:lang w:val="hr-HR"/>
              </w:rPr>
              <w:t xml:space="preserve"> za stjecanje </w:t>
            </w:r>
            <w:proofErr w:type="spellStart"/>
            <w:r w:rsidRPr="00DF273E">
              <w:rPr>
                <w:sz w:val="20"/>
                <w:szCs w:val="20"/>
                <w:lang w:val="hr-HR"/>
              </w:rPr>
              <w:t>mikrokvalifikacije</w:t>
            </w:r>
            <w:proofErr w:type="spellEnd"/>
            <w:r w:rsidRPr="00DF273E">
              <w:rPr>
                <w:sz w:val="20"/>
                <w:szCs w:val="20"/>
                <w:lang w:val="hr-HR"/>
              </w:rPr>
              <w:t xml:space="preserve"> </w:t>
            </w:r>
            <w:r w:rsidR="00AD4D4A" w:rsidRPr="00AD4D4A">
              <w:rPr>
                <w:sz w:val="20"/>
                <w:szCs w:val="20"/>
                <w:lang w:val="hr-HR"/>
              </w:rPr>
              <w:t>servisiranje i održavanje baterija HEV/EV</w:t>
            </w:r>
          </w:p>
        </w:tc>
      </w:tr>
      <w:tr w:rsidR="00012313" w:rsidRPr="00DF273E" w14:paraId="7FF27341" w14:textId="77777777" w:rsidTr="00A62380">
        <w:trPr>
          <w:trHeight w:val="732"/>
        </w:trPr>
        <w:tc>
          <w:tcPr>
            <w:tcW w:w="1823" w:type="pct"/>
            <w:shd w:val="clear" w:color="auto" w:fill="B8CCE4"/>
          </w:tcPr>
          <w:p w14:paraId="1AD62AC2" w14:textId="77777777" w:rsidR="00012313" w:rsidRPr="00DF273E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177" w:type="pct"/>
            <w:gridSpan w:val="3"/>
          </w:tcPr>
          <w:p w14:paraId="2533257A" w14:textId="77971BCB" w:rsidR="00C1047C" w:rsidRPr="00DF273E" w:rsidRDefault="00C1047C" w:rsidP="00C1047C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 xml:space="preserve">Program obrazovanja za stjecanje </w:t>
            </w:r>
            <w:proofErr w:type="spellStart"/>
            <w:r w:rsidRPr="00DF273E">
              <w:rPr>
                <w:sz w:val="20"/>
                <w:szCs w:val="20"/>
                <w:lang w:val="hr-HR"/>
              </w:rPr>
              <w:t>mikrokvalifikacije</w:t>
            </w:r>
            <w:proofErr w:type="spellEnd"/>
            <w:r w:rsidRPr="00DF273E">
              <w:rPr>
                <w:sz w:val="20"/>
                <w:szCs w:val="20"/>
                <w:lang w:val="hr-HR"/>
              </w:rPr>
              <w:t xml:space="preserve"> </w:t>
            </w:r>
            <w:r w:rsidR="00AD4D4A" w:rsidRPr="00AD4D4A">
              <w:rPr>
                <w:sz w:val="20"/>
                <w:szCs w:val="20"/>
                <w:lang w:val="hr-HR"/>
              </w:rPr>
              <w:t xml:space="preserve">servisiranje i održavanje baterija HEV/EV </w:t>
            </w:r>
            <w:r w:rsidRPr="00DF273E">
              <w:rPr>
                <w:sz w:val="20"/>
                <w:szCs w:val="20"/>
                <w:lang w:val="hr-HR"/>
              </w:rPr>
              <w:t xml:space="preserve">provodi se redovitom nastavom u trajanju od </w:t>
            </w:r>
            <w:r w:rsidR="004371D3" w:rsidRPr="004371D3">
              <w:rPr>
                <w:sz w:val="20"/>
                <w:szCs w:val="20"/>
                <w:lang w:val="hr-HR"/>
              </w:rPr>
              <w:t>50</w:t>
            </w:r>
            <w:r w:rsidRPr="004371D3">
              <w:rPr>
                <w:sz w:val="20"/>
                <w:szCs w:val="20"/>
                <w:lang w:val="hr-HR"/>
              </w:rPr>
              <w:t xml:space="preserve"> </w:t>
            </w:r>
            <w:r w:rsidRPr="00DF273E">
              <w:rPr>
                <w:sz w:val="20"/>
                <w:szCs w:val="20"/>
                <w:lang w:val="hr-HR"/>
              </w:rPr>
              <w:t xml:space="preserve">sati, uz mogućnost izvođenja </w:t>
            </w:r>
            <w:r w:rsidR="00754668">
              <w:rPr>
                <w:sz w:val="20"/>
                <w:szCs w:val="20"/>
                <w:lang w:val="hr-HR"/>
              </w:rPr>
              <w:t xml:space="preserve">teorijskog dijela </w:t>
            </w:r>
            <w:r w:rsidRPr="00DF273E">
              <w:rPr>
                <w:sz w:val="20"/>
                <w:szCs w:val="20"/>
                <w:lang w:val="hr-HR"/>
              </w:rPr>
              <w:t>programa na daljinu u realnom vremenu.</w:t>
            </w:r>
          </w:p>
          <w:p w14:paraId="36317A5C" w14:textId="7F12B4A0" w:rsidR="00C1047C" w:rsidRPr="00B23A58" w:rsidRDefault="00C1047C" w:rsidP="00C1047C">
            <w:pPr>
              <w:spacing w:before="60" w:after="60" w:line="240" w:lineRule="auto"/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 xml:space="preserve">Ishodi </w:t>
            </w:r>
            <w:r w:rsidRPr="00B23A58">
              <w:rPr>
                <w:sz w:val="20"/>
                <w:szCs w:val="20"/>
                <w:lang w:val="hr-HR"/>
              </w:rPr>
              <w:t xml:space="preserve">učenja ostvaruju se dijelom vođenim procesom učenja i poučavanja u trajanju od </w:t>
            </w:r>
            <w:r w:rsidR="00B23A58" w:rsidRPr="00B23A58">
              <w:rPr>
                <w:sz w:val="20"/>
                <w:szCs w:val="20"/>
                <w:lang w:val="hr-HR"/>
              </w:rPr>
              <w:t>8</w:t>
            </w:r>
            <w:r w:rsidRPr="00B23A58">
              <w:rPr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B23A58" w:rsidRPr="00B23A58">
              <w:rPr>
                <w:sz w:val="20"/>
                <w:szCs w:val="20"/>
                <w:lang w:val="hr-HR"/>
              </w:rPr>
              <w:t>32</w:t>
            </w:r>
            <w:r w:rsidRPr="00B23A58">
              <w:rPr>
                <w:sz w:val="20"/>
                <w:szCs w:val="20"/>
                <w:lang w:val="hr-HR"/>
              </w:rPr>
              <w:t xml:space="preserve"> sata, a dijelom samostalnim aktivnostima polaznika u trajanju od  </w:t>
            </w:r>
            <w:r w:rsidR="00B23A58" w:rsidRPr="00B23A58">
              <w:rPr>
                <w:sz w:val="20"/>
                <w:szCs w:val="20"/>
                <w:lang w:val="hr-HR"/>
              </w:rPr>
              <w:t>10</w:t>
            </w:r>
            <w:r w:rsidRPr="00B23A58">
              <w:rPr>
                <w:sz w:val="20"/>
                <w:szCs w:val="20"/>
                <w:lang w:val="hr-HR"/>
              </w:rPr>
              <w:t xml:space="preserve"> sat</w:t>
            </w:r>
            <w:r w:rsidR="00CA7C0B" w:rsidRPr="00B23A58">
              <w:rPr>
                <w:sz w:val="20"/>
                <w:szCs w:val="20"/>
                <w:lang w:val="hr-HR"/>
              </w:rPr>
              <w:t>i</w:t>
            </w:r>
            <w:r w:rsidRPr="00B23A58">
              <w:rPr>
                <w:sz w:val="20"/>
                <w:szCs w:val="20"/>
                <w:lang w:val="hr-HR"/>
              </w:rPr>
              <w:t>.</w:t>
            </w:r>
          </w:p>
          <w:p w14:paraId="232FE860" w14:textId="411073BE" w:rsidR="00012313" w:rsidRPr="00DF273E" w:rsidRDefault="00C1047C" w:rsidP="00C1047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</w:t>
            </w:r>
            <w:r w:rsidR="00F14A19">
              <w:rPr>
                <w:sz w:val="20"/>
                <w:szCs w:val="20"/>
                <w:lang w:val="hr-HR"/>
              </w:rPr>
              <w:t xml:space="preserve"> </w:t>
            </w:r>
            <w:r w:rsidR="00671717">
              <w:rPr>
                <w:sz w:val="20"/>
                <w:szCs w:val="20"/>
                <w:lang w:val="hr-HR"/>
              </w:rPr>
              <w:t>U</w:t>
            </w:r>
            <w:r w:rsidR="00F14A19"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ključuje razdoblja učenja na radnome mjestu kod poslodavca.</w:t>
            </w:r>
          </w:p>
        </w:tc>
      </w:tr>
      <w:tr w:rsidR="00C759FB" w:rsidRPr="00DF273E" w14:paraId="43FBABCD" w14:textId="77777777" w:rsidTr="00613FB2">
        <w:trPr>
          <w:trHeight w:val="355"/>
        </w:trPr>
        <w:tc>
          <w:tcPr>
            <w:tcW w:w="1823" w:type="pct"/>
            <w:shd w:val="clear" w:color="auto" w:fill="B8CCE4"/>
          </w:tcPr>
          <w:p w14:paraId="133C704A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177" w:type="pct"/>
            <w:gridSpan w:val="3"/>
          </w:tcPr>
          <w:p w14:paraId="10AC7B1C" w14:textId="3D875213" w:rsidR="00C759FB" w:rsidRPr="00DF273E" w:rsidRDefault="00F71A5E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  <w:tr w:rsidR="00C759FB" w:rsidRPr="00DF273E" w14:paraId="7E27A17E" w14:textId="77777777" w:rsidTr="00A62380">
        <w:trPr>
          <w:trHeight w:val="557"/>
        </w:trPr>
        <w:tc>
          <w:tcPr>
            <w:tcW w:w="1823" w:type="pct"/>
            <w:shd w:val="clear" w:color="auto" w:fill="B8CCE4"/>
          </w:tcPr>
          <w:p w14:paraId="28FAAE04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177" w:type="pct"/>
            <w:gridSpan w:val="3"/>
          </w:tcPr>
          <w:p w14:paraId="33F2A16D" w14:textId="0ED1E7E3" w:rsidR="00C759FB" w:rsidRPr="00FC1661" w:rsidRDefault="005B2A34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FC166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 xml:space="preserve">Prema </w:t>
            </w:r>
            <w:r w:rsidR="00114B5E" w:rsidRPr="00FC166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programima</w:t>
            </w:r>
            <w:r w:rsidR="002511B6" w:rsidRPr="00FC166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 xml:space="preserve"> obrazovanja za stjecanje </w:t>
            </w:r>
            <w:r w:rsidR="003640CA" w:rsidRPr="00FC166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mikrokvalifikacijama</w:t>
            </w:r>
            <w:r w:rsidR="00053765" w:rsidRPr="00FC166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 xml:space="preserve"> dijagnostika i servisiranje </w:t>
            </w:r>
            <w:r w:rsidR="00114B5E" w:rsidRPr="00FC166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električnih i</w:t>
            </w:r>
            <w:r w:rsidR="002511B6" w:rsidRPr="00FC166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li</w:t>
            </w:r>
            <w:r w:rsidR="00114B5E" w:rsidRPr="00FC166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 xml:space="preserve"> hibridnih</w:t>
            </w:r>
            <w:r w:rsidR="002511B6" w:rsidRPr="00FC1661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 xml:space="preserve"> vozila</w:t>
            </w:r>
          </w:p>
        </w:tc>
      </w:tr>
      <w:tr w:rsidR="00C759FB" w:rsidRPr="00DF273E" w14:paraId="5C71A861" w14:textId="77777777" w:rsidTr="00CF08D3">
        <w:trPr>
          <w:trHeight w:val="800"/>
        </w:trPr>
        <w:tc>
          <w:tcPr>
            <w:tcW w:w="1823" w:type="pct"/>
            <w:shd w:val="clear" w:color="auto" w:fill="B8CCE4"/>
            <w:hideMark/>
          </w:tcPr>
          <w:p w14:paraId="516B693D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177" w:type="pct"/>
            <w:gridSpan w:val="3"/>
          </w:tcPr>
          <w:p w14:paraId="617432A4" w14:textId="77777777" w:rsidR="00CF08D3" w:rsidRDefault="00CF08D3" w:rsidP="00CF08D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22204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https://hko.srce.hr/registar/skup-ishoda-ucenja/detalji/1447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A7743D2" w14:textId="56C219ED" w:rsidR="00C759FB" w:rsidRPr="00CF08D3" w:rsidRDefault="00CF08D3" w:rsidP="00CF08D3">
            <w:pPr>
              <w:spacing w:before="60" w:after="60"/>
              <w:jc w:val="both"/>
              <w:rPr>
                <w:sz w:val="20"/>
                <w:szCs w:val="20"/>
              </w:rPr>
            </w:pPr>
            <w:hyperlink r:id="rId17" w:history="1">
              <w:r w:rsidRPr="0022204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https://hko.srce.hr/registar/skup-ishoda-ucenja/detalji/1450</w:t>
              </w:r>
            </w:hyperlink>
          </w:p>
        </w:tc>
      </w:tr>
      <w:tr w:rsidR="00C759FB" w:rsidRPr="00DF273E" w14:paraId="5ACE91E0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F5569F5" w14:textId="77777777" w:rsidR="00C759FB" w:rsidRPr="00DF273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DF273E" w14:paraId="7E8CFED0" w14:textId="77777777" w:rsidTr="008239CD">
        <w:trPr>
          <w:trHeight w:val="304"/>
        </w:trPr>
        <w:tc>
          <w:tcPr>
            <w:tcW w:w="5000" w:type="pct"/>
            <w:gridSpan w:val="4"/>
          </w:tcPr>
          <w:p w14:paraId="2E35BF7E" w14:textId="16D92857" w:rsidR="009C3C07" w:rsidRPr="00D342E7" w:rsidRDefault="009C3C07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342E7">
              <w:rPr>
                <w:rFonts w:cstheme="minorHAnsi"/>
                <w:noProof/>
                <w:sz w:val="20"/>
                <w:szCs w:val="20"/>
              </w:rPr>
              <w:t>Odspojiti hibridno i električno vozilo s izvora napajanja prema pravilima struke</w:t>
            </w:r>
          </w:p>
          <w:p w14:paraId="6226954A" w14:textId="28C62D46" w:rsidR="009C3C07" w:rsidRPr="00D342E7" w:rsidRDefault="009C3C07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342E7">
              <w:rPr>
                <w:rFonts w:cstheme="minorHAnsi"/>
                <w:noProof/>
                <w:sz w:val="20"/>
                <w:szCs w:val="20"/>
              </w:rPr>
              <w:t>Utvrđivati stanje motornih (SUI), hibridnih i električnih vozila dijagnostičkom opremom i dijagnostičkim uređajima</w:t>
            </w:r>
          </w:p>
          <w:p w14:paraId="4EB89F76" w14:textId="322FC3E2" w:rsidR="009C3C07" w:rsidRPr="00D342E7" w:rsidRDefault="009C3C07" w:rsidP="00995344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357" w:hanging="357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342E7">
              <w:rPr>
                <w:rFonts w:cstheme="minorHAnsi"/>
                <w:noProof/>
                <w:sz w:val="20"/>
                <w:szCs w:val="20"/>
              </w:rPr>
              <w:t>Pravilno koristiti alate i uređaje obzirom na opasnost od visokog napona kod održavanja hibridnog i električnog vozila</w:t>
            </w:r>
          </w:p>
          <w:p w14:paraId="76A8A811" w14:textId="77777777" w:rsidR="002E3A97" w:rsidRPr="00D342E7" w:rsidRDefault="002E3A97" w:rsidP="002E3A97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342E7">
              <w:rPr>
                <w:rFonts w:cstheme="minorHAnsi"/>
                <w:noProof/>
                <w:sz w:val="20"/>
                <w:szCs w:val="20"/>
              </w:rPr>
              <w:t>Pravilno rukovati standardnim i specijalnim alatima za popravak električnih i hibridnih vozila</w:t>
            </w:r>
          </w:p>
          <w:p w14:paraId="41E6A27A" w14:textId="77777777" w:rsidR="002E3A97" w:rsidRPr="00D342E7" w:rsidRDefault="002E3A97" w:rsidP="002E3A97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342E7">
              <w:rPr>
                <w:rFonts w:cstheme="minorHAnsi"/>
                <w:noProof/>
                <w:sz w:val="20"/>
                <w:szCs w:val="20"/>
              </w:rPr>
              <w:t>Redovito servisirati/dijagnosticirati kvar i popraviti komponente na hibridnom i električnom vozilu</w:t>
            </w:r>
          </w:p>
          <w:p w14:paraId="37316F70" w14:textId="31AC3F6A" w:rsidR="005C491D" w:rsidRPr="00D342E7" w:rsidRDefault="002E3A97" w:rsidP="005C491D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D342E7">
              <w:rPr>
                <w:rFonts w:cstheme="minorHAnsi"/>
                <w:noProof/>
                <w:sz w:val="20"/>
                <w:szCs w:val="20"/>
              </w:rPr>
              <w:t>Zamijeniti popraviti izvor energije, bateriju na električnom/hibridnom vozilu</w:t>
            </w:r>
          </w:p>
        </w:tc>
      </w:tr>
      <w:tr w:rsidR="00A62380" w:rsidRPr="00DF273E" w14:paraId="571ABCA6" w14:textId="77777777" w:rsidTr="00A62380">
        <w:trPr>
          <w:trHeight w:val="951"/>
        </w:trPr>
        <w:tc>
          <w:tcPr>
            <w:tcW w:w="1823" w:type="pct"/>
            <w:shd w:val="clear" w:color="auto" w:fill="B8CCE4"/>
            <w:hideMark/>
          </w:tcPr>
          <w:p w14:paraId="02187DAF" w14:textId="77777777" w:rsidR="00A62380" w:rsidRPr="00DF273E" w:rsidRDefault="00A62380" w:rsidP="00A623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177" w:type="pct"/>
            <w:gridSpan w:val="3"/>
          </w:tcPr>
          <w:p w14:paraId="009A4977" w14:textId="77777777" w:rsidR="00A62380" w:rsidRPr="00DF273E" w:rsidRDefault="00A62380" w:rsidP="00CE466D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3A011820" w14:textId="77777777" w:rsidR="00A62380" w:rsidRPr="00B54D9F" w:rsidRDefault="00A62380" w:rsidP="001A2C8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B54D9F">
              <w:rPr>
                <w:rFonts w:eastAsia="Times New Roman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 </w:t>
            </w:r>
          </w:p>
          <w:p w14:paraId="57074F72" w14:textId="77777777" w:rsidR="00A62380" w:rsidRPr="00B54D9F" w:rsidRDefault="00A62380" w:rsidP="001A2C8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B54D9F">
              <w:rPr>
                <w:rFonts w:eastAsia="Times New Roman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4E7FAE9E" w14:textId="77777777" w:rsidR="00A62380" w:rsidRPr="00B54D9F" w:rsidRDefault="00A62380" w:rsidP="001A2C8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B54D9F">
              <w:rPr>
                <w:rFonts w:eastAsia="Times New Roman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135AB3F3" w14:textId="77777777" w:rsidR="00A62380" w:rsidRPr="00B54D9F" w:rsidRDefault="00A62380" w:rsidP="001A2C8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textAlignment w:val="baseline"/>
              <w:rPr>
                <w:rFonts w:eastAsia="Times New Roman"/>
                <w:sz w:val="20"/>
                <w:szCs w:val="20"/>
                <w:lang w:eastAsia="hr-HR"/>
              </w:rPr>
            </w:pPr>
            <w:r w:rsidRPr="00B54D9F">
              <w:rPr>
                <w:rFonts w:eastAsia="Times New Roman"/>
                <w:sz w:val="20"/>
                <w:szCs w:val="20"/>
                <w:lang w:eastAsia="hr-HR"/>
              </w:rPr>
              <w:t>provodi se analiza materijalnih i kadrovskih uvjeta potrebnih za izvođenje procesa učenja i poučavanja</w:t>
            </w:r>
          </w:p>
          <w:p w14:paraId="19B62EDF" w14:textId="77777777" w:rsidR="00A62380" w:rsidRPr="00DF273E" w:rsidRDefault="00A62380" w:rsidP="00CE466D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lastRenderedPageBreak/>
              <w:t>Rezultatima anketa dobiva se pregled uspješnosti izvedbe programa, kao i procjena kvalitete nastavničkog rada.</w:t>
            </w:r>
          </w:p>
          <w:p w14:paraId="7D30E053" w14:textId="77777777" w:rsidR="00A62380" w:rsidRPr="00DF273E" w:rsidRDefault="00A62380" w:rsidP="00A6238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</w:t>
            </w:r>
            <w:r w:rsidR="001E5A29" w:rsidRPr="00DF273E">
              <w:rPr>
                <w:sz w:val="20"/>
                <w:szCs w:val="20"/>
                <w:lang w:val="hr-HR"/>
              </w:rPr>
              <w:t xml:space="preserve">, </w:t>
            </w:r>
            <w:r w:rsidRPr="00DF273E">
              <w:rPr>
                <w:sz w:val="20"/>
                <w:szCs w:val="20"/>
                <w:lang w:val="hr-HR"/>
              </w:rPr>
              <w:t>a na temelju unaprijed određenih kriterija vrednovanja postignuća.</w:t>
            </w:r>
          </w:p>
        </w:tc>
      </w:tr>
      <w:tr w:rsidR="00A62380" w:rsidRPr="00DF273E" w14:paraId="1815000D" w14:textId="77777777" w:rsidTr="00613FB2">
        <w:trPr>
          <w:trHeight w:val="415"/>
        </w:trPr>
        <w:tc>
          <w:tcPr>
            <w:tcW w:w="1823" w:type="pct"/>
            <w:shd w:val="clear" w:color="auto" w:fill="B8CCE4"/>
            <w:hideMark/>
          </w:tcPr>
          <w:p w14:paraId="37C406BE" w14:textId="77777777" w:rsidR="00A62380" w:rsidRPr="00DF273E" w:rsidRDefault="00A62380" w:rsidP="00A623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177" w:type="pct"/>
            <w:gridSpan w:val="3"/>
          </w:tcPr>
          <w:p w14:paraId="76438A13" w14:textId="77777777" w:rsidR="00A62380" w:rsidRPr="00DF273E" w:rsidRDefault="00A62380" w:rsidP="00A6238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1D47275" w14:textId="77777777" w:rsidR="00FC2256" w:rsidRDefault="00FC2256" w:rsidP="00FC2256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CE971A5" w14:textId="77777777" w:rsidR="00FC2256" w:rsidRDefault="00FC2256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78AFC404" w14:textId="18A83A1B" w:rsidR="00C759FB" w:rsidRPr="00DF273E" w:rsidRDefault="00C759FB" w:rsidP="00FC2256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DF273E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DF273E" w14:paraId="2637B47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9FFD0BB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35F75267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C21034B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49885832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EAC4B10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2C85093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9C7CDE0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131E63D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5A972A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865FA66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7B441A94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EBCA5F5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DF273E" w14:paraId="615A690E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21435CB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C60756E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B85B7C8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3E83DB0" w14:textId="77777777" w:rsidR="00C759FB" w:rsidRPr="00DF273E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F934E18" w14:textId="77777777" w:rsidR="00C759FB" w:rsidRPr="00DF273E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127E1A8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208DC4C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8F82986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235DD252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759FB" w:rsidRPr="00DF273E" w14:paraId="40C25028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47D330C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21C41F4" w14:textId="77777777" w:rsidR="00C759FB" w:rsidRPr="00DF273E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0B61" w14:textId="4087279A" w:rsidR="00C759FB" w:rsidRPr="00DF273E" w:rsidRDefault="00716E90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Rad na siguran način s hibridnim</w:t>
            </w:r>
            <w:r w:rsidR="00B63B85"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električnim</w:t>
            </w: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vozilima</w:t>
            </w:r>
            <w:r w:rsidR="000A0626"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i električnim vozilima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9044A2" w14:textId="77777777" w:rsidR="00C759FB" w:rsidRPr="00DF273E" w:rsidRDefault="00716E90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Sigurnosni zahtjevi povezani s hibridnim i električnim vozilima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A5BDC4" w14:textId="77777777" w:rsidR="00C759FB" w:rsidRPr="00DF273E" w:rsidRDefault="00716E90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DCF0C" w14:textId="77777777" w:rsidR="00C759FB" w:rsidRPr="00DF273E" w:rsidRDefault="00716E9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ACB476" w14:textId="77777777" w:rsidR="00C759FB" w:rsidRPr="00DF273E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4129A" w14:textId="77777777" w:rsidR="00C759FB" w:rsidRPr="00DF273E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9A7409" w14:textId="77777777" w:rsidR="00C759FB" w:rsidRPr="00DF273E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9627229" w14:textId="77777777" w:rsidR="00C759FB" w:rsidRPr="00DF273E" w:rsidRDefault="008D479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16E90" w:rsidRPr="00DF273E" w14:paraId="6B967A38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989F062" w14:textId="77777777" w:rsidR="00716E90" w:rsidRPr="00DF273E" w:rsidRDefault="00716E9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BD7E859" w14:textId="77777777" w:rsidR="00716E90" w:rsidRPr="00DF273E" w:rsidRDefault="00716E9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64D6" w14:textId="33ECA2B5" w:rsidR="00716E90" w:rsidRPr="00DF273E" w:rsidRDefault="00F149B7" w:rsidP="00C407C4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Servisiranje i održavanje baterija HEV/EV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9E6306" w14:textId="6FC8C22D" w:rsidR="00716E90" w:rsidRPr="00DF273E" w:rsidRDefault="00F149B7" w:rsidP="00C407C4">
            <w:pPr>
              <w:rPr>
                <w:sz w:val="20"/>
                <w:szCs w:val="20"/>
                <w:lang w:val="hr-HR"/>
              </w:rPr>
            </w:pPr>
            <w:r w:rsidRPr="00DF273E">
              <w:rPr>
                <w:sz w:val="20"/>
                <w:szCs w:val="20"/>
                <w:lang w:val="hr-HR"/>
              </w:rPr>
              <w:t>Servisiranje i održavanje baterija HEV/EV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9ABA2" w14:textId="77777777" w:rsidR="00716E90" w:rsidRPr="00DF273E" w:rsidRDefault="00B63B85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4A2024" w14:textId="5FBDEC53" w:rsidR="00716E90" w:rsidRPr="00DF273E" w:rsidRDefault="00FE257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B63B85"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C0116A" w14:textId="09994557" w:rsidR="00716E90" w:rsidRPr="00DF273E" w:rsidRDefault="00FE2578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6917F3" w14:textId="1D6B7E6A" w:rsidR="00716E90" w:rsidRPr="00DF273E" w:rsidRDefault="00FE0F36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C8BCA4" w14:textId="422C5EDE" w:rsidR="00716E90" w:rsidRPr="00DF273E" w:rsidRDefault="00FE0F36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8F9A0B2" w14:textId="2C96DCDD" w:rsidR="00716E90" w:rsidRPr="00DF273E" w:rsidRDefault="00FE0F36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C759FB" w:rsidRPr="00DF273E" w14:paraId="1363B258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6DBA0F8" w14:textId="77777777" w:rsidR="00C759FB" w:rsidRPr="00DF273E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BB0FDA" w14:textId="3066BB56" w:rsidR="00C759FB" w:rsidRPr="001A2C8D" w:rsidRDefault="00FE2578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A2C8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A62380" w:rsidRPr="001A2C8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CSVET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5BFC28" w14:textId="767EA1AE" w:rsidR="00C759FB" w:rsidRPr="001A2C8D" w:rsidRDefault="00F149B7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A2C8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E55BD4" w14:textId="00DB41F9" w:rsidR="00C759FB" w:rsidRPr="001A2C8D" w:rsidRDefault="00F149B7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A2C8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00B0ED" w14:textId="2E1DF62E" w:rsidR="00C759FB" w:rsidRPr="001A2C8D" w:rsidRDefault="00FE0F36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A2C8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9056EE" w14:textId="21CC25E3" w:rsidR="00C759FB" w:rsidRPr="001A2C8D" w:rsidRDefault="00FE2578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1A2C8D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</w:tbl>
    <w:bookmarkEnd w:id="1"/>
    <w:p w14:paraId="72BD9130" w14:textId="77777777" w:rsidR="00C759FB" w:rsidRPr="00DF273E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DF273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6D77D99E" w14:textId="77777777" w:rsidR="00C759FB" w:rsidRPr="00DF273E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DF273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9E473EB" w14:textId="373F8E05" w:rsidR="00C759FB" w:rsidRPr="00DF273E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DF273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</w:t>
      </w:r>
      <w:r w:rsidR="00613FB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i </w:t>
      </w:r>
      <w:r w:rsidRPr="00DF273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3C3FB90A" w14:textId="77777777" w:rsidR="00C759FB" w:rsidRPr="00DF273E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73AA9716" w14:textId="77777777" w:rsidR="00C759FB" w:rsidRPr="00DF273E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DF273E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DF273E" w14:paraId="6CD6733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2731AC1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4D65061" w14:textId="1CBDDC3A" w:rsidR="00C759FB" w:rsidRPr="001A2C8D" w:rsidRDefault="001A2C8D" w:rsidP="001A2C8D">
            <w:pPr>
              <w:jc w:val="both"/>
              <w:rPr>
                <w:b/>
                <w:bCs/>
              </w:rPr>
            </w:pPr>
            <w:r w:rsidRPr="001A2C8D">
              <w:rPr>
                <w:b/>
                <w:bCs/>
              </w:rPr>
              <w:t>RAD NA SIGURAN NAČIN S HIBRIDNIM ELEKTRIČNIM VOZILIMA I ELEKTRIČNIM VOZILIMA</w:t>
            </w:r>
            <w:r>
              <w:rPr>
                <w:b/>
                <w:bCs/>
              </w:rPr>
              <w:t>, 1 CSVET</w:t>
            </w:r>
          </w:p>
        </w:tc>
      </w:tr>
      <w:tr w:rsidR="00C759FB" w:rsidRPr="00DF273E" w14:paraId="5059BB78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0F57AD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9A37F5C" w14:textId="77777777" w:rsidR="00C759FB" w:rsidRPr="00DF273E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56D5903F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79DCA3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D9E09DD" w14:textId="257C6286" w:rsidR="000A1293" w:rsidRDefault="006906B8" w:rsidP="0069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hAnsi="DejaVuSans" w:cs="DejaVuSans"/>
                <w:sz w:val="20"/>
                <w:szCs w:val="20"/>
              </w:rPr>
            </w:pPr>
            <w:hyperlink r:id="rId18" w:history="1">
              <w:r w:rsidRPr="0026797D">
                <w:rPr>
                  <w:rStyle w:val="Hyperlink"/>
                  <w:rFonts w:ascii="DejaVuSans" w:hAnsi="DejaVuSans" w:cs="DejaVuSans"/>
                  <w:sz w:val="20"/>
                  <w:szCs w:val="20"/>
                </w:rPr>
                <w:t>https://hko.srce.hr/registar/skup-ishoda-ucenja/detalji/1447</w:t>
              </w:r>
            </w:hyperlink>
            <w:r>
              <w:rPr>
                <w:rFonts w:ascii="DejaVuSans" w:hAnsi="DejaVuSans" w:cs="DejaVuSans"/>
                <w:sz w:val="20"/>
                <w:szCs w:val="20"/>
              </w:rPr>
              <w:t xml:space="preserve"> </w:t>
            </w:r>
          </w:p>
          <w:p w14:paraId="0B86A723" w14:textId="77777777" w:rsidR="00037323" w:rsidRPr="006906B8" w:rsidRDefault="00037323" w:rsidP="0069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hAnsi="DejaVuSans" w:cs="DejaVuSans"/>
                <w:sz w:val="20"/>
                <w:szCs w:val="20"/>
              </w:rPr>
            </w:pPr>
          </w:p>
          <w:p w14:paraId="39161281" w14:textId="3564522E" w:rsidR="00B63B85" w:rsidRPr="001A2C8D" w:rsidRDefault="002866D8" w:rsidP="001A2C8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 xml:space="preserve">za </w:t>
            </w:r>
            <w:r w:rsidRPr="00D342E7">
              <w:rPr>
                <w:rFonts w:ascii="DejaVuSans" w:hAnsi="DejaVuSans" w:cs="DejaVuSans"/>
                <w:sz w:val="20"/>
                <w:szCs w:val="20"/>
              </w:rPr>
              <w:t>izvođenje VPUP-a</w:t>
            </w:r>
            <w:r w:rsidR="0022758F" w:rsidRPr="00D342E7">
              <w:rPr>
                <w:rFonts w:ascii="DejaVuSans" w:hAnsi="DejaVuSans" w:cs="DejaVuSans"/>
                <w:sz w:val="20"/>
                <w:szCs w:val="20"/>
              </w:rPr>
              <w:t xml:space="preserve"> </w:t>
            </w:r>
            <w:r>
              <w:rPr>
                <w:rFonts w:ascii="DejaVuSans" w:hAnsi="DejaVuSans" w:cs="DejaVuSans"/>
                <w:sz w:val="20"/>
                <w:szCs w:val="20"/>
              </w:rPr>
              <w:t xml:space="preserve">najmanje </w:t>
            </w:r>
            <w:r w:rsidR="00B63B85" w:rsidRPr="000A1293">
              <w:rPr>
                <w:rFonts w:ascii="DejaVuSans" w:hAnsi="DejaVuSans" w:cs="DejaVuSans"/>
                <w:sz w:val="20"/>
                <w:szCs w:val="20"/>
              </w:rPr>
              <w:t>razina 6 HKO-a</w:t>
            </w:r>
            <w:r w:rsidR="001A2C8D" w:rsidRPr="001A2C8D">
              <w:rPr>
                <w:rFonts w:ascii="DejaVuSans" w:hAnsi="DejaVuSans" w:cs="DejaVuSans"/>
                <w:sz w:val="20"/>
                <w:szCs w:val="20"/>
              </w:rPr>
              <w:t xml:space="preserve"> </w:t>
            </w:r>
            <w:r w:rsidR="0005628C" w:rsidRPr="001A2C8D">
              <w:rPr>
                <w:rFonts w:ascii="DejaVuSans" w:hAnsi="DejaVuSans" w:cs="DejaVuSans"/>
                <w:sz w:val="20"/>
                <w:szCs w:val="20"/>
              </w:rPr>
              <w:t>odgovarajućeg profila</w:t>
            </w:r>
          </w:p>
          <w:p w14:paraId="2E29E6EF" w14:textId="13544CD7" w:rsidR="00B63B85" w:rsidRPr="000A1293" w:rsidRDefault="00037323" w:rsidP="001A2C8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 xml:space="preserve">za </w:t>
            </w:r>
            <w:r w:rsidR="002866D8">
              <w:rPr>
                <w:rFonts w:ascii="DejaVuSans" w:hAnsi="DejaVuSans" w:cs="DejaVuSans"/>
                <w:sz w:val="20"/>
                <w:szCs w:val="20"/>
              </w:rPr>
              <w:t>izvođenje</w:t>
            </w:r>
            <w:r>
              <w:rPr>
                <w:rFonts w:ascii="DejaVuSans" w:hAnsi="DejaVuSans" w:cs="DejaVuSans"/>
                <w:sz w:val="20"/>
                <w:szCs w:val="20"/>
              </w:rPr>
              <w:t xml:space="preserve"> UTR-a najmanje razine 4.1 HKO s minimalnim radnim iskustvom od 1 godine na poslovima vezanim uz r</w:t>
            </w:r>
            <w:r w:rsidRPr="00037323">
              <w:rPr>
                <w:rFonts w:ascii="DejaVuSans" w:hAnsi="DejaVuSans" w:cs="DejaVuSans"/>
                <w:sz w:val="20"/>
                <w:szCs w:val="20"/>
              </w:rPr>
              <w:t>ad na siguran način s hibridnim električnim vozilima i električnim vozilima</w:t>
            </w:r>
          </w:p>
          <w:p w14:paraId="2A1DDDDF" w14:textId="7E5C511A" w:rsidR="002866D8" w:rsidRPr="000A1293" w:rsidRDefault="002866D8" w:rsidP="002866D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</w:rPr>
            </w:pPr>
          </w:p>
        </w:tc>
      </w:tr>
      <w:tr w:rsidR="00C759FB" w:rsidRPr="00DF273E" w14:paraId="6B635758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0BB1BA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DAE1B8B" w14:textId="77777777" w:rsidR="00C759FB" w:rsidRPr="00DF273E" w:rsidRDefault="007C40B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 CSVET</w:t>
            </w:r>
          </w:p>
        </w:tc>
      </w:tr>
      <w:tr w:rsidR="00C759FB" w:rsidRPr="00DF273E" w14:paraId="7FBBF455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1ABF7B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630BCE7" w14:textId="77777777" w:rsidR="00C759FB" w:rsidRPr="00DF273E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6CBE758" w14:textId="77777777" w:rsidR="00C759FB" w:rsidRPr="00DF273E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771DB9" w14:textId="77777777" w:rsidR="00C759FB" w:rsidRPr="00DF273E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E3171" w:rsidRPr="00DF273E" w14:paraId="7B8C37B2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94E92" w14:textId="77777777" w:rsidR="00BE3171" w:rsidRPr="00DF273E" w:rsidRDefault="00BE3171" w:rsidP="00BE31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5C68343E" w14:textId="1355128A" w:rsidR="00BE3171" w:rsidRPr="00DF273E" w:rsidRDefault="00BE3171" w:rsidP="00FC225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1A2C8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sati (</w:t>
            </w:r>
            <w:r w:rsidR="008E4E5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16</w:t>
            </w:r>
            <w:r w:rsidR="001A2C8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4A91C5F" w14:textId="34925245" w:rsidR="00BE3171" w:rsidRPr="00DF273E" w:rsidRDefault="00BE3171" w:rsidP="00FC225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  <w:r w:rsidR="001A2C8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sati (</w:t>
            </w:r>
            <w:r w:rsidR="008E4E5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48</w:t>
            </w:r>
            <w:r w:rsidR="001A2C8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6B226EE" w14:textId="47894A50" w:rsidR="00BE3171" w:rsidRPr="00DF273E" w:rsidRDefault="00BE3171" w:rsidP="00FC225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  <w:r w:rsidR="001A2C8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sati (</w:t>
            </w:r>
            <w:r w:rsidR="008E4E5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A2C8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%)</w:t>
            </w:r>
          </w:p>
        </w:tc>
      </w:tr>
      <w:tr w:rsidR="00C759FB" w:rsidRPr="00DF273E" w14:paraId="585C3C9B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D41B38E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C922D38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DA6FE" w14:textId="24405387" w:rsidR="00C759FB" w:rsidRPr="00DF273E" w:rsidRDefault="007C40B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DF273E" w14:paraId="4844AC10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8DFA72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CDD616" w14:textId="379D4E89" w:rsidR="0015121C" w:rsidRPr="002E5EAB" w:rsidRDefault="0015121C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polaznicima omogućiti stjecanje znanja i vještina potrebnih za Rad na siguran način s hibridnim električnim vozilima</w:t>
            </w:r>
            <w:r w:rsidR="00843D6D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(HRV)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843D6D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električnim vozilima (EV)</w:t>
            </w:r>
          </w:p>
          <w:p w14:paraId="7D9AC854" w14:textId="77777777" w:rsidR="0015121C" w:rsidRPr="002E5EAB" w:rsidRDefault="0015121C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6044384" w14:textId="00E8EFB9" w:rsidR="005811F0" w:rsidRPr="002E5EAB" w:rsidRDefault="005811F0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 xml:space="preserve">Rad s </w:t>
            </w:r>
            <w:r w:rsidR="00843D6D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HEV i EV</w:t>
            </w:r>
            <w:r w:rsidR="0015121C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temelji se na korištenju digitalnih i zelenih tehnologija: digitalnih u dijelu rukovanja i upravljanja uz korištenje odgovarajućih tehnologija, a zelenih 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jer su </w:t>
            </w:r>
            <w:r w:rsidR="0001698F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HEV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1698F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 EV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značajno ekoliški prihvatljivija od konvencionalnih vozila </w:t>
            </w:r>
            <w:r w:rsidR="0001698F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 pogonom na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unutarnj</w:t>
            </w:r>
            <w:r w:rsidR="0001698F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izgaranje</w:t>
            </w:r>
            <w:r w:rsidR="0001698F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E5EAB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fosilnih goriva</w:t>
            </w: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5C9EE250" w14:textId="77777777" w:rsidR="005811F0" w:rsidRPr="002E5EAB" w:rsidRDefault="005811F0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565CFC37" w14:textId="256396B7" w:rsidR="00C759FB" w:rsidRPr="002E5EAB" w:rsidRDefault="0015121C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biti osposobljeni za </w:t>
            </w:r>
            <w:r w:rsidR="005811F0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rad na siguran način s </w:t>
            </w:r>
            <w:r w:rsidR="002E5EAB" w:rsidRPr="002E5EA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HEV i EV</w:t>
            </w:r>
          </w:p>
        </w:tc>
      </w:tr>
      <w:tr w:rsidR="00C759FB" w:rsidRPr="00DF273E" w14:paraId="2AA415E2" w14:textId="77777777" w:rsidTr="00DC66B5">
        <w:trPr>
          <w:trHeight w:val="561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89B2BD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69AB6BA" w14:textId="1D7963A5" w:rsidR="00C759FB" w:rsidRPr="003036F7" w:rsidRDefault="003036F7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h</w:t>
            </w:r>
            <w:r w:rsidR="005811F0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ibridno električno vozilo,</w:t>
            </w:r>
            <w:r w:rsidR="00B671BF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električno vozilo,</w:t>
            </w:r>
            <w:r w:rsidR="005811F0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digitalne tehnologije, zelene energije, </w:t>
            </w:r>
            <w:r w:rsidR="00D97FC3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visokonaponski sustavi, </w:t>
            </w:r>
            <w:r w:rsidR="005811F0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propisi iz zaštite na radu</w:t>
            </w:r>
            <w:r w:rsidR="0065267C" w:rsidRPr="003036F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zaštita okoliša</w:t>
            </w:r>
          </w:p>
          <w:p w14:paraId="2860F502" w14:textId="77777777" w:rsidR="00C759FB" w:rsidRPr="003036F7" w:rsidRDefault="00C759FB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DF273E" w14:paraId="49F1CE37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E855DE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3330C87" w14:textId="77777777" w:rsidR="00D825E0" w:rsidRPr="00DF273E" w:rsidRDefault="00D825E0" w:rsidP="001A2C8D">
            <w:pPr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navedeni u skupu ishoda učenja Sigurnosni zahtjevi povezani s hibridnim i električnim vozilima impliciraju stjecanje </w:t>
            </w:r>
            <w:r w:rsidR="00E91CE6"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znanja i vještina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povezanih </w:t>
            </w:r>
            <w:r w:rsidR="00E91CE6"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 radom na siguran način s hibridnim vozilima</w:t>
            </w:r>
          </w:p>
          <w:p w14:paraId="32A047DE" w14:textId="3A895001" w:rsidR="00E91CE6" w:rsidRPr="00DF273E" w:rsidRDefault="00D825E0" w:rsidP="001A2C8D">
            <w:pPr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Oblik učenja temeljenog na radu u ovome programu jest učenje na radnom mjestu koje uključuje razdoblja učenja na radnome mjestu kod poslodavca. </w:t>
            </w:r>
          </w:p>
        </w:tc>
      </w:tr>
      <w:tr w:rsidR="00C759FB" w:rsidRPr="00DF273E" w14:paraId="7857C7C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80E128" w14:textId="77777777" w:rsidR="00C759FB" w:rsidRPr="00DF273E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74A98D1" w14:textId="77777777" w:rsidR="00FB35BB" w:rsidRPr="00DF273E" w:rsidRDefault="00FB35BB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63D5693C" w14:textId="77777777" w:rsidR="00D97FC3" w:rsidRPr="001A2C8D" w:rsidRDefault="00D97FC3" w:rsidP="001A2C8D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>Iqbal Husain (2010.), Electric and Hybrid Vehicles: Design Fundamentals, Second Edition, CRC Press</w:t>
            </w:r>
          </w:p>
          <w:p w14:paraId="75B63563" w14:textId="77777777" w:rsidR="00E91CE6" w:rsidRPr="001A2C8D" w:rsidRDefault="00D97FC3" w:rsidP="001A2C8D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>Nikowitz, Michael (2016.), Advanced Hybrid and Electric Vehicles, Springer</w:t>
            </w:r>
            <w:r w:rsidR="00FB35BB" w:rsidRPr="001A2C8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6A2B124B" w14:textId="77777777" w:rsidR="001B3980" w:rsidRDefault="001B3980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polaznke:</w:t>
            </w:r>
          </w:p>
          <w:p w14:paraId="0D32FE70" w14:textId="1169C6DA" w:rsidR="001B3980" w:rsidRPr="001A2C8D" w:rsidRDefault="001B3980" w:rsidP="00D439ED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>ur. Vadjon Vladimir (2017.), Tehnika motornih vozila, 30. prerađeno i nadopunjeno izdanje</w:t>
            </w:r>
          </w:p>
        </w:tc>
      </w:tr>
    </w:tbl>
    <w:p w14:paraId="5A982D3B" w14:textId="77777777" w:rsidR="00C759FB" w:rsidRPr="00DF273E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DF273E" w14:paraId="58BE3B8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B0C07BA" w14:textId="23814C49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A2C8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7913580" w14:textId="2010228E" w:rsidR="00C759FB" w:rsidRPr="001A2C8D" w:rsidRDefault="007C40B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1A2C8D">
              <w:rPr>
                <w:b/>
                <w:bCs/>
                <w:sz w:val="20"/>
                <w:szCs w:val="20"/>
                <w:lang w:val="hr-HR"/>
              </w:rPr>
              <w:t>Sigurnosni zahtjevi povezani s hibridnim i električnim vozilima</w:t>
            </w:r>
            <w:r w:rsidR="001A2C8D">
              <w:rPr>
                <w:b/>
                <w:bCs/>
                <w:sz w:val="20"/>
                <w:szCs w:val="20"/>
                <w:lang w:val="hr-HR"/>
              </w:rPr>
              <w:t>, 1 CSVET</w:t>
            </w:r>
          </w:p>
        </w:tc>
      </w:tr>
      <w:tr w:rsidR="00C759FB" w:rsidRPr="00DF273E" w14:paraId="27AE414D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FF7814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7C40BB" w:rsidRPr="00DF273E" w14:paraId="5DF563D4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0BFCFD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1. Objasniti potencijalne izvore opasnosti pri radu s visokonaponskim sustavima</w:t>
            </w:r>
          </w:p>
        </w:tc>
      </w:tr>
      <w:tr w:rsidR="007C40BB" w:rsidRPr="00DF273E" w14:paraId="6947C552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03A7C4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2. Opisati propisani postupak isključivanja visokonaponskog sustava HEV/EV</w:t>
            </w:r>
          </w:p>
        </w:tc>
      </w:tr>
      <w:tr w:rsidR="007C40BB" w:rsidRPr="00DF273E" w14:paraId="51122157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69C0B2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3. Demonstrirati postupak dovođenja HEV/EV u bez naponsko stanje</w:t>
            </w:r>
          </w:p>
        </w:tc>
      </w:tr>
      <w:tr w:rsidR="007C40BB" w:rsidRPr="00DF273E" w14:paraId="720D06DA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95D4AF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4. Opisati propisani postupak uključivanja vozila na visoki napon</w:t>
            </w:r>
          </w:p>
        </w:tc>
      </w:tr>
      <w:tr w:rsidR="007C40BB" w:rsidRPr="00DF273E" w14:paraId="63B1C756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CCCBC2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5. Demonstrirati postavljanje HEV/EV u visokonaponsko stanje</w:t>
            </w:r>
          </w:p>
        </w:tc>
      </w:tr>
      <w:tr w:rsidR="007C40BB" w:rsidRPr="00DF273E" w14:paraId="491F6F73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3923CE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6. Ispitati funkcionalnost VN sustava HEV/EV</w:t>
            </w:r>
          </w:p>
        </w:tc>
      </w:tr>
      <w:tr w:rsidR="007C40BB" w:rsidRPr="00DF273E" w14:paraId="5D35B708" w14:textId="77777777" w:rsidTr="0066478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60371E8" w14:textId="77777777" w:rsidR="007C40BB" w:rsidRPr="00DF273E" w:rsidRDefault="007C40BB" w:rsidP="007C40B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7. Objasniti pravila za održavanje pojedinih elemenata VN sustava HEV/EV</w:t>
            </w:r>
          </w:p>
        </w:tc>
      </w:tr>
      <w:tr w:rsidR="00C759FB" w:rsidRPr="00DF273E" w14:paraId="692A8FD4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BBA15E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DF273E" w14:paraId="6E1846D4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DC9B73" w14:textId="77777777" w:rsidR="000279B0" w:rsidRPr="00DF273E" w:rsidRDefault="000279B0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Dominantni nastavni sustav modula Rad na siguran način s hibridnim električnim vozilima je </w:t>
            </w:r>
            <w:r w:rsidRPr="00DF273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4A443FAD" w14:textId="2C6D0B19" w:rsidR="000279B0" w:rsidRPr="00DF273E" w:rsidRDefault="000279B0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Prije procesa učenja temeljenog na radu, vođenim procesom učenja i poučavanja polaznik će steći teorijska znanja  o potencijalin izvorima opasnosti pri radu s visokonaposnki sustavima, postupcima isključivanja HEV</w:t>
            </w:r>
            <w:r w:rsidR="002B6D3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EV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uključivanja HEV </w:t>
            </w:r>
            <w:r w:rsidR="002B6D3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 EV 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visoki napon, pravila za održavanje elemenata VN sustava u HEV</w:t>
            </w:r>
            <w:r w:rsidR="002B6D3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EV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374BB2D4" w14:textId="1EC53AA5" w:rsidR="00C759FB" w:rsidRPr="00DF273E" w:rsidRDefault="000279B0" w:rsidP="001A2C8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provedenog vođenog procesa učenja i poučavanja, polaznik će usvojiti praktične vještine izvođenja postupaka učenjem temeljenom na radu, kod poslodavca, na radnom mjestu. Polaznik se postupno uvodi u svijet rada te mu se omogućuje sudjelovanje u radnome procesu u kontroliranim uvjetima sve dok ne stekne potpune kompetencije za samostalan rad s HEV</w:t>
            </w:r>
            <w:r w:rsidR="002B6D3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EV</w:t>
            </w: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 siguran način.</w:t>
            </w:r>
          </w:p>
        </w:tc>
      </w:tr>
      <w:tr w:rsidR="00C759FB" w:rsidRPr="00DF273E" w14:paraId="6E8131F8" w14:textId="77777777" w:rsidTr="0045751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622EB9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744DA" w14:textId="77777777" w:rsidR="00C759FB" w:rsidRPr="001A2C8D" w:rsidRDefault="00222FCB" w:rsidP="001A2C8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>Izvor</w:t>
            </w:r>
            <w:r w:rsidR="00E91CE6" w:rsidRPr="001A2C8D">
              <w:rPr>
                <w:rFonts w:cstheme="minorHAnsi"/>
                <w:iCs/>
                <w:noProof/>
                <w:sz w:val="20"/>
                <w:szCs w:val="20"/>
              </w:rPr>
              <w:t xml:space="preserve">i opasnosti pri radu s visokonaponskim sustavima </w:t>
            </w:r>
          </w:p>
          <w:p w14:paraId="6D092A45" w14:textId="77777777" w:rsidR="00E91CE6" w:rsidRPr="001A2C8D" w:rsidRDefault="00222FCB" w:rsidP="001A2C8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>Postu</w:t>
            </w:r>
            <w:r w:rsidR="00E91CE6" w:rsidRPr="001A2C8D">
              <w:rPr>
                <w:rFonts w:cstheme="minorHAnsi"/>
                <w:iCs/>
                <w:noProof/>
                <w:sz w:val="20"/>
                <w:szCs w:val="20"/>
              </w:rPr>
              <w:t xml:space="preserve">pak isključivanja visokonaposnkog </w:t>
            </w: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>sustava HEV</w:t>
            </w:r>
          </w:p>
          <w:p w14:paraId="13A7996C" w14:textId="77777777" w:rsidR="00E91CE6" w:rsidRPr="001A2C8D" w:rsidRDefault="00222FCB" w:rsidP="001A2C8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 xml:space="preserve">Postupak uključivanja HEV </w:t>
            </w:r>
            <w:r w:rsidR="00BE3171" w:rsidRPr="001A2C8D">
              <w:rPr>
                <w:rFonts w:cstheme="minorHAnsi"/>
                <w:iCs/>
                <w:noProof/>
                <w:sz w:val="20"/>
                <w:szCs w:val="20"/>
              </w:rPr>
              <w:t>u visokonaponsko stanje</w:t>
            </w:r>
          </w:p>
          <w:p w14:paraId="1FB57D8F" w14:textId="77777777" w:rsidR="00BE3171" w:rsidRPr="001A2C8D" w:rsidRDefault="00222FCB" w:rsidP="001A2C8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BE3171" w:rsidRPr="001A2C8D">
              <w:rPr>
                <w:rFonts w:cstheme="minorHAnsi"/>
                <w:iCs/>
                <w:noProof/>
                <w:sz w:val="20"/>
                <w:szCs w:val="20"/>
              </w:rPr>
              <w:t>spitivanje funkcionalnosti</w:t>
            </w: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 xml:space="preserve"> VN sustava</w:t>
            </w:r>
          </w:p>
          <w:p w14:paraId="109E88B4" w14:textId="77777777" w:rsidR="00222FCB" w:rsidRPr="001A2C8D" w:rsidRDefault="00222FCB" w:rsidP="001A2C8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>Ekološki savjesno gospodarenje električnom energijom</w:t>
            </w:r>
          </w:p>
          <w:p w14:paraId="2CEF2C3F" w14:textId="4C569E66" w:rsidR="00222FCB" w:rsidRPr="001A2C8D" w:rsidRDefault="00222FCB" w:rsidP="001A2C8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 xml:space="preserve">Ispravno skladištene </w:t>
            </w:r>
            <w:r w:rsidR="00E20EBE" w:rsidRPr="001A2C8D">
              <w:rPr>
                <w:rFonts w:cstheme="minorHAnsi"/>
                <w:iCs/>
                <w:noProof/>
                <w:sz w:val="20"/>
                <w:szCs w:val="20"/>
              </w:rPr>
              <w:t xml:space="preserve">otpadnih </w:t>
            </w: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 xml:space="preserve">dijelova </w:t>
            </w:r>
            <w:r w:rsidR="0065267C" w:rsidRPr="001A2C8D">
              <w:rPr>
                <w:rFonts w:cstheme="minorHAnsi"/>
                <w:iCs/>
                <w:noProof/>
                <w:sz w:val="20"/>
                <w:szCs w:val="20"/>
              </w:rPr>
              <w:t xml:space="preserve">i materijala </w:t>
            </w:r>
            <w:r w:rsidRPr="001A2C8D">
              <w:rPr>
                <w:rFonts w:cstheme="minorHAnsi"/>
                <w:iCs/>
                <w:noProof/>
                <w:sz w:val="20"/>
                <w:szCs w:val="20"/>
              </w:rPr>
              <w:t xml:space="preserve">povezanih s </w:t>
            </w:r>
            <w:r w:rsidR="002B6D3B" w:rsidRPr="001A2C8D">
              <w:rPr>
                <w:rFonts w:cstheme="minorHAnsi"/>
                <w:iCs/>
                <w:noProof/>
                <w:sz w:val="20"/>
                <w:szCs w:val="20"/>
              </w:rPr>
              <w:t>HEV i EV</w:t>
            </w:r>
          </w:p>
        </w:tc>
      </w:tr>
      <w:tr w:rsidR="00C759FB" w:rsidRPr="00DF273E" w14:paraId="1F21D347" w14:textId="77777777" w:rsidTr="00457516">
        <w:trPr>
          <w:trHeight w:val="364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66E310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 w:rsidR="00F35919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DF273E" w14:paraId="1E2F9B34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8A1B95" w14:textId="074CEC00" w:rsidR="0065763A" w:rsidRPr="00DF273E" w:rsidRDefault="0065763A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Ishodi učenja provjeravaju se pisano i/ili usmeno i/ili vježbom i/ili problemskim</w:t>
            </w:r>
            <w:r w:rsidR="00EF67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zadatkom i/ili projektnom temom i/ili projektnim zadatkom i/ili radnom</w:t>
            </w:r>
            <w:r w:rsidR="00EF679C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DF273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situacijom.</w:t>
            </w:r>
          </w:p>
          <w:p w14:paraId="74136F8B" w14:textId="77777777" w:rsidR="00C759FB" w:rsidRDefault="00C759FB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C5C4165" w14:textId="77777777" w:rsidR="000D591E" w:rsidRPr="00EF679C" w:rsidRDefault="000D591E" w:rsidP="000D591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EF679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3CD3A361" w14:textId="53444B40" w:rsidR="00F91E1E" w:rsidRPr="00DF273E" w:rsidRDefault="00591A42" w:rsidP="0065763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91A4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Polazniku je zadano da ispravno usmeno opiše sve potencijalne opasnosti pri radu s visokonaponskim sustavima, te navede i demonstrira postupke za zaštitu. Nakon provođenja zaštitnih mjera, polaznik će praktično provesti proceduru isključivanja visokonaponskog sustava na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HEV ili EV</w:t>
            </w:r>
            <w:r w:rsidRPr="00591A4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, opisujući pritom postupke koje izvodi. Nakon toga polaznik treba nanovo uključiti isto vozilo na visoki napon, prateći proceduru opisom postupaka. Ispravnim izborom alata i uređaja, polaznik će potom izvršiti provjeru funkcionalnosti visokonaponskog sustava u </w:t>
            </w:r>
            <w:r w:rsidR="004604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HEV/EV</w:t>
            </w:r>
            <w:r w:rsidRPr="00591A4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Za kraj će opisati i prikazati preventivni plan održavanja visokonaponskog sustava </w:t>
            </w:r>
            <w:r w:rsidR="004604E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HEV/</w:t>
            </w:r>
            <w:r w:rsidRPr="00591A4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EV.</w:t>
            </w:r>
          </w:p>
        </w:tc>
      </w:tr>
      <w:tr w:rsidR="00C759FB" w:rsidRPr="00DF273E" w14:paraId="7D017EEF" w14:textId="77777777" w:rsidTr="004D766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61E100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DF273E" w14:paraId="502D14FD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D6F9108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F273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7C1BC3A2" w14:textId="77777777" w:rsidR="00C759FB" w:rsidRPr="00DF273E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C8B008E" w14:textId="77777777" w:rsidR="00A1711A" w:rsidRPr="00DF273E" w:rsidRDefault="00A1711A" w:rsidP="00C759FB">
      <w:pPr>
        <w:jc w:val="both"/>
        <w:rPr>
          <w:rFonts w:asciiTheme="minorHAnsi" w:hAnsiTheme="minorHAnsi" w:cstheme="minorHAnsi"/>
          <w:noProof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B63B85" w:rsidRPr="00DF273E" w14:paraId="662FF2CE" w14:textId="77777777" w:rsidTr="0055092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8EAD45" w14:textId="131CF0B8" w:rsidR="00B63B85" w:rsidRPr="00DF273E" w:rsidRDefault="00A1711A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lang w:val="hr-HR"/>
              </w:rPr>
              <w:br w:type="page"/>
            </w:r>
            <w:r w:rsidR="00B63B85"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99A0EA0" w14:textId="6CD420A2" w:rsidR="00B63B85" w:rsidRPr="00DF273E" w:rsidRDefault="001A2C8D" w:rsidP="0055092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SERVISIRANJE I ODRŽAVANJE BATERIJA HEV/EV</w:t>
            </w:r>
          </w:p>
        </w:tc>
      </w:tr>
      <w:tr w:rsidR="00B63B85" w:rsidRPr="00DF273E" w14:paraId="33A7BD5A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82AB24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EC69E8" w14:textId="77777777" w:rsidR="00B63B85" w:rsidRPr="00DF273E" w:rsidRDefault="00B63B85" w:rsidP="0055092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B63B85" w:rsidRPr="00DF273E" w14:paraId="12390744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17F7E4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E8E6953" w14:textId="794A8C52" w:rsidR="0039525C" w:rsidRDefault="008771F7" w:rsidP="0039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hAnsi="DejaVuSans" w:cs="DejaVuSans"/>
                <w:sz w:val="20"/>
                <w:szCs w:val="20"/>
              </w:rPr>
            </w:pPr>
            <w:hyperlink r:id="rId19" w:history="1">
              <w:r w:rsidRPr="0026797D">
                <w:rPr>
                  <w:rStyle w:val="Hyperlink"/>
                  <w:rFonts w:ascii="DejaVuSans" w:hAnsi="DejaVuSans" w:cs="DejaVuSans"/>
                  <w:sz w:val="20"/>
                  <w:szCs w:val="20"/>
                </w:rPr>
                <w:t>https://hko.srce.hr/registar/skup-ishoda-ucenja/detalji/1450</w:t>
              </w:r>
            </w:hyperlink>
            <w:r>
              <w:rPr>
                <w:rFonts w:ascii="DejaVuSans" w:hAnsi="DejaVuSans" w:cs="DejaVuSans"/>
                <w:sz w:val="20"/>
                <w:szCs w:val="20"/>
              </w:rPr>
              <w:t xml:space="preserve"> </w:t>
            </w:r>
          </w:p>
          <w:p w14:paraId="7F2E738F" w14:textId="77777777" w:rsidR="008771F7" w:rsidRPr="0039525C" w:rsidRDefault="008771F7" w:rsidP="0039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hAnsi="DejaVuSans" w:cs="DejaVuSans"/>
                <w:sz w:val="20"/>
                <w:szCs w:val="20"/>
              </w:rPr>
            </w:pPr>
          </w:p>
          <w:p w14:paraId="745167A2" w14:textId="77777777" w:rsidR="0049491E" w:rsidRPr="001A2C8D" w:rsidRDefault="0049491E" w:rsidP="0049491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 xml:space="preserve">za </w:t>
            </w:r>
            <w:r w:rsidRPr="00D342E7">
              <w:rPr>
                <w:rFonts w:ascii="DejaVuSans" w:hAnsi="DejaVuSans" w:cs="DejaVuSans"/>
                <w:sz w:val="20"/>
                <w:szCs w:val="20"/>
              </w:rPr>
              <w:t xml:space="preserve">izvođenje VPUP-a </w:t>
            </w:r>
            <w:r>
              <w:rPr>
                <w:rFonts w:ascii="DejaVuSans" w:hAnsi="DejaVuSans" w:cs="DejaVuSans"/>
                <w:sz w:val="20"/>
                <w:szCs w:val="20"/>
              </w:rPr>
              <w:t xml:space="preserve">najmanje </w:t>
            </w:r>
            <w:r w:rsidRPr="000A1293">
              <w:rPr>
                <w:rFonts w:ascii="DejaVuSans" w:hAnsi="DejaVuSans" w:cs="DejaVuSans"/>
                <w:sz w:val="20"/>
                <w:szCs w:val="20"/>
              </w:rPr>
              <w:t>razina 6 HKO-a</w:t>
            </w:r>
            <w:r w:rsidRPr="001A2C8D">
              <w:rPr>
                <w:rFonts w:ascii="DejaVuSans" w:hAnsi="DejaVuSans" w:cs="DejaVuSans"/>
                <w:sz w:val="20"/>
                <w:szCs w:val="20"/>
              </w:rPr>
              <w:t xml:space="preserve"> odgovarajućeg profila</w:t>
            </w:r>
          </w:p>
          <w:p w14:paraId="7201A949" w14:textId="77777777" w:rsidR="0049491E" w:rsidRPr="000A1293" w:rsidRDefault="0049491E" w:rsidP="0049491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sz w:val="20"/>
                <w:szCs w:val="20"/>
              </w:rPr>
              <w:t>za izvođenje UTR-a najmanje razine 4.1 HKO s minimalnim radnim iskustvom od 1 godine na poslovima vezanim uz r</w:t>
            </w:r>
            <w:r w:rsidRPr="00037323">
              <w:rPr>
                <w:rFonts w:ascii="DejaVuSans" w:hAnsi="DejaVuSans" w:cs="DejaVuSans"/>
                <w:sz w:val="20"/>
                <w:szCs w:val="20"/>
              </w:rPr>
              <w:t>ad na siguran način s hibridnim električnim vozilima i električnim vozilima</w:t>
            </w:r>
          </w:p>
          <w:p w14:paraId="06EB76CB" w14:textId="23DAA76D" w:rsidR="00B63B85" w:rsidRPr="00DF273E" w:rsidRDefault="00B63B85" w:rsidP="0065763A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B63B85" w:rsidRPr="00DF273E" w14:paraId="530BB0E2" w14:textId="77777777" w:rsidTr="0055092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D8740D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AE8E0F9" w14:textId="0CB0C52B" w:rsidR="00B63B85" w:rsidRPr="00DF273E" w:rsidRDefault="00CE0FFE" w:rsidP="0055092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65763A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B63B85" w:rsidRPr="00DF273E" w14:paraId="3AAF8D37" w14:textId="77777777" w:rsidTr="0055092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28DB4D5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15F03FB" w14:textId="77777777" w:rsidR="00B63B85" w:rsidRPr="00DF273E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5287B4C" w14:textId="77777777" w:rsidR="00B63B85" w:rsidRPr="00DF273E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D0EC52F" w14:textId="77777777" w:rsidR="00B63B85" w:rsidRPr="00DF273E" w:rsidRDefault="00B63B85" w:rsidP="0055092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BE3171" w:rsidRPr="00DF273E" w14:paraId="797CA0ED" w14:textId="77777777" w:rsidTr="0055092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C95B9B" w14:textId="77777777" w:rsidR="00BE3171" w:rsidRPr="00DF273E" w:rsidRDefault="00BE3171" w:rsidP="00BE31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76CC4756" w14:textId="560E97C6" w:rsidR="00BE3171" w:rsidRPr="00DF273E" w:rsidRDefault="00A03CF7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8E4E5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sati (16%)</w:t>
            </w:r>
          </w:p>
        </w:tc>
        <w:tc>
          <w:tcPr>
            <w:tcW w:w="2552" w:type="dxa"/>
            <w:vAlign w:val="center"/>
          </w:tcPr>
          <w:p w14:paraId="15D99C2A" w14:textId="1871DCF4" w:rsidR="00BE3171" w:rsidRPr="00DF273E" w:rsidRDefault="00A03CF7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BE3171"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  <w:r w:rsidR="008E4E5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sati (80%)</w:t>
            </w:r>
          </w:p>
        </w:tc>
        <w:tc>
          <w:tcPr>
            <w:tcW w:w="2552" w:type="dxa"/>
            <w:vAlign w:val="center"/>
          </w:tcPr>
          <w:p w14:paraId="5848BCB7" w14:textId="396F6A01" w:rsidR="00BE3171" w:rsidRPr="00DF273E" w:rsidRDefault="00A03CF7" w:rsidP="00BE317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8E4E5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sat (4%)</w:t>
            </w:r>
          </w:p>
        </w:tc>
      </w:tr>
      <w:tr w:rsidR="00B63B85" w:rsidRPr="00DF273E" w14:paraId="0BF1387E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36AC3E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757AA202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CA61E9C" w14:textId="77777777" w:rsidR="00B63B85" w:rsidRPr="00DF273E" w:rsidRDefault="0065763A" w:rsidP="0055092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obavezni</w:t>
            </w:r>
          </w:p>
        </w:tc>
      </w:tr>
      <w:tr w:rsidR="00B63B85" w:rsidRPr="00DF273E" w14:paraId="61F5BBB6" w14:textId="77777777" w:rsidTr="0055092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10E9F4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3EC079C" w14:textId="43F022C6" w:rsidR="00B63B85" w:rsidRPr="001B3980" w:rsidRDefault="00F220A8" w:rsidP="008E4E5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B39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Cilj modula je polaznicima omogućiti stjecanje znanja i vještina potrebnih za servisiranje i održavanje</w:t>
            </w:r>
            <w:r w:rsidR="000717AC" w:rsidRPr="001B39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baterija u HEV i EV</w:t>
            </w:r>
            <w:r w:rsidRPr="001B39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primjenom digitalnih tehnologija na ekološki prihvatljiv način uz korištenje zelenih energija.</w:t>
            </w:r>
          </w:p>
          <w:p w14:paraId="70ECE0EF" w14:textId="77777777" w:rsidR="00F220A8" w:rsidRPr="001B3980" w:rsidRDefault="00F220A8" w:rsidP="008E4E5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A7E14EE" w14:textId="412E2161" w:rsidR="00F220A8" w:rsidRPr="008B6BED" w:rsidRDefault="00F220A8" w:rsidP="008E4E5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hr-HR"/>
              </w:rPr>
            </w:pPr>
            <w:r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Polaznici će biti 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osposobljeni</w:t>
            </w:r>
            <w:r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za 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održavanje </w:t>
            </w:r>
            <w:r w:rsidR="00B15A2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baterija u 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HEV</w:t>
            </w:r>
            <w:r w:rsidR="00CE0FFE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i EV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, korištenje odgovarajućih alata i opreme</w:t>
            </w:r>
            <w:r w:rsidR="00692A91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za </w:t>
            </w:r>
            <w:r w:rsidR="00D9781B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održavanje baterija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, spajanje </w:t>
            </w:r>
            <w:r w:rsidR="00D9781B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visokonaponskih priključaka i kabela</w:t>
            </w:r>
            <w:r w:rsidR="0086790B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, prepoznavanje oštećenja na baterijama i vioskonaponskim priključcima i kavelima</w:t>
            </w:r>
            <w:r w:rsidR="006F241F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="00745DB4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servisiranje baterija i ekološki savjesno </w:t>
            </w:r>
            <w:r w:rsidR="002A3838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zbrinjavanje i recikliranje komponenti baterija</w:t>
            </w:r>
            <w:r w:rsidR="00DD1951" w:rsidRPr="001B3980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A3838" w:rsidRPr="001B3980">
              <w:rPr>
                <w:rFonts w:cstheme="minorHAnsi"/>
                <w:noProof/>
                <w:sz w:val="20"/>
                <w:szCs w:val="20"/>
                <w:lang w:val="hr-HR"/>
              </w:rPr>
              <w:t>HEV i EV.</w:t>
            </w:r>
          </w:p>
        </w:tc>
      </w:tr>
      <w:tr w:rsidR="00B63B85" w:rsidRPr="00DF273E" w14:paraId="0C267A93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2F195F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8ED2CB3" w14:textId="56C5433B" w:rsidR="00E7445A" w:rsidRPr="004D7665" w:rsidRDefault="004D7665" w:rsidP="008E4E5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h</w:t>
            </w:r>
            <w:r w:rsidR="00E7445A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ibridno električno vozilo,</w:t>
            </w:r>
            <w:r w:rsidR="00A03CF7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električno vozilo,</w:t>
            </w:r>
            <w:r w:rsidR="00E7445A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digitalne tehnologije, zelene energije, </w:t>
            </w:r>
            <w:r w:rsidR="00015731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digitalni alati  za dijagnostiku grešaka</w:t>
            </w:r>
            <w:r w:rsidR="00D03242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na bateriji</w:t>
            </w:r>
            <w:r w:rsidR="00015731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, </w:t>
            </w:r>
            <w:r w:rsidR="00E7445A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visokonaponski sustavi, </w:t>
            </w:r>
            <w:r w:rsidR="00A03CF7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visokonaponska baterija, </w:t>
            </w:r>
            <w:r w:rsidR="00E7445A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greške na visokonaponskim sustavima, </w:t>
            </w:r>
            <w:r w:rsidR="00CC0E5D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komponente  visokonaponskih sustava</w:t>
            </w:r>
            <w:r w:rsidR="00717A6B" w:rsidRPr="004D7665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recikliranje komponenti baterija</w:t>
            </w:r>
          </w:p>
          <w:p w14:paraId="4DD8AB0A" w14:textId="77777777" w:rsidR="00B63B85" w:rsidRPr="004D7665" w:rsidRDefault="00B63B85" w:rsidP="008E4E5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</w:p>
        </w:tc>
      </w:tr>
      <w:tr w:rsidR="00B63B85" w:rsidRPr="00DF273E" w14:paraId="751FE3A3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390802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5F50DD2" w14:textId="77777777" w:rsidR="00B63B85" w:rsidRPr="00DF273E" w:rsidRDefault="00FB35BB" w:rsidP="008E4E5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color w:val="FF0000"/>
                <w:sz w:val="16"/>
                <w:szCs w:val="16"/>
                <w:lang w:val="hr-HR"/>
              </w:rPr>
            </w:pPr>
            <w:r w:rsidRPr="00DF27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Oblik učenja temeljenog na radu u ovome programu jest učenje na radnom mjestu koje uključuje razdoblja učenja na radnome mjestu kod poslodavca.</w:t>
            </w:r>
          </w:p>
        </w:tc>
      </w:tr>
      <w:tr w:rsidR="00B63B85" w:rsidRPr="00DF273E" w14:paraId="3E691310" w14:textId="77777777" w:rsidTr="0055092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6CE6D0" w14:textId="77777777" w:rsidR="00B63B85" w:rsidRPr="00DF273E" w:rsidRDefault="00B63B85" w:rsidP="0055092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3DFAA7A" w14:textId="77777777" w:rsidR="00FB35BB" w:rsidRPr="001B3980" w:rsidRDefault="00FB35BB" w:rsidP="008E4E59">
            <w:pPr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1B39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169C0043" w14:textId="77777777" w:rsidR="00FB35BB" w:rsidRPr="008E4E59" w:rsidRDefault="00FB35BB" w:rsidP="008E4E5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Iqbal Husain (2010.), Electric and Hybrid Vehicles: Design Fundamentals, Second Edition, CRC Press</w:t>
            </w:r>
          </w:p>
          <w:p w14:paraId="3B50D11D" w14:textId="77777777" w:rsidR="00B63B85" w:rsidRPr="008E4E59" w:rsidRDefault="00FB35BB" w:rsidP="008E4E59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i/>
                <w:noProof/>
                <w:sz w:val="20"/>
                <w:szCs w:val="20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Nikowitz, Michael (2016.), Advanced Hybrid and Electric Vehicles, Springer</w:t>
            </w:r>
            <w:r w:rsidRPr="008E4E59">
              <w:rPr>
                <w:rFonts w:cstheme="minorHAnsi"/>
                <w:i/>
                <w:noProof/>
                <w:sz w:val="20"/>
                <w:szCs w:val="20"/>
              </w:rPr>
              <w:t xml:space="preserve"> </w:t>
            </w:r>
          </w:p>
          <w:p w14:paraId="26730959" w14:textId="77777777" w:rsidR="001B3980" w:rsidRDefault="001B3980" w:rsidP="008E4E5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Literatura za polaznke:</w:t>
            </w:r>
          </w:p>
          <w:p w14:paraId="79C2BA11" w14:textId="263A5D92" w:rsidR="001B3980" w:rsidRPr="008E4E59" w:rsidRDefault="001B3980" w:rsidP="00D439ED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ur. Vadjon Vladimir (2017.), Tehnika motornih vozila, 30. prerađeno i nadopunjeno izdanje</w:t>
            </w:r>
          </w:p>
        </w:tc>
      </w:tr>
    </w:tbl>
    <w:p w14:paraId="564889A0" w14:textId="5453ED22" w:rsidR="00485CBD" w:rsidRDefault="00485CBD" w:rsidP="00AF57FB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B63B85" w:rsidRPr="00DF273E" w14:paraId="1633E24A" w14:textId="77777777" w:rsidTr="0055092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B201A40" w14:textId="0292851B" w:rsidR="00B63B85" w:rsidRPr="00DF273E" w:rsidRDefault="00485CBD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 w:type="page"/>
            </w:r>
            <w:r w:rsidR="00B63B85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8E4E5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="00B63B85"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99BB9CD" w14:textId="03B94396" w:rsidR="00B63B85" w:rsidRPr="008E4E59" w:rsidRDefault="001B3980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8E4E59">
              <w:rPr>
                <w:b/>
                <w:bCs/>
                <w:sz w:val="20"/>
                <w:szCs w:val="20"/>
                <w:lang w:val="hr-HR"/>
              </w:rPr>
              <w:t>Servisiranje i održavanje baterija HEV/EV</w:t>
            </w:r>
            <w:r w:rsidR="008E4E59" w:rsidRPr="008E4E59">
              <w:rPr>
                <w:b/>
                <w:bCs/>
                <w:sz w:val="20"/>
                <w:szCs w:val="20"/>
                <w:lang w:val="hr-HR"/>
              </w:rPr>
              <w:t>, 1 CSVET</w:t>
            </w:r>
          </w:p>
        </w:tc>
      </w:tr>
      <w:tr w:rsidR="00B63B85" w:rsidRPr="00DF273E" w14:paraId="56570353" w14:textId="77777777" w:rsidTr="0055092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7CEB2D" w14:textId="77777777" w:rsidR="00B63B85" w:rsidRPr="00DF273E" w:rsidRDefault="00B63B85" w:rsidP="0055092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C717C" w:rsidRPr="00DF273E" w14:paraId="79FA13D8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276928" w14:textId="6AB35D64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 Razumjeti osnovnu konstrukciju automobilskih visokonaponskih baterija</w:t>
            </w:r>
          </w:p>
        </w:tc>
      </w:tr>
      <w:tr w:rsidR="00CC717C" w:rsidRPr="00DF273E" w14:paraId="4A90B6D0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D85064" w14:textId="2CBB976C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 Prepoznati oštećenja baterije i visokonaponskih priključaka i kabela</w:t>
            </w:r>
          </w:p>
        </w:tc>
      </w:tr>
      <w:tr w:rsidR="00CC717C" w:rsidRPr="00DF273E" w14:paraId="2EC698BD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C22307" w14:textId="10C64C3D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 Smanjiti napon baterije na sigurnu radnu vrijednost u skladu sa smjernicama proizvođača</w:t>
            </w:r>
          </w:p>
        </w:tc>
      </w:tr>
      <w:tr w:rsidR="00CC717C" w:rsidRPr="00DF273E" w14:paraId="5307D399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DE524B" w14:textId="512743ED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 Ukloniti visokonaponsku bateriju slijedeći upute proizvođača</w:t>
            </w:r>
          </w:p>
        </w:tc>
      </w:tr>
      <w:tr w:rsidR="00CC717C" w:rsidRPr="00DF273E" w14:paraId="2C1910D4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E4D71F1" w14:textId="6A65C232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 Demonstrirati postupak testiranja baterija</w:t>
            </w:r>
          </w:p>
        </w:tc>
      </w:tr>
      <w:tr w:rsidR="00CC717C" w:rsidRPr="00DF273E" w14:paraId="29FE5D1D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A76C9B" w14:textId="5CD7F5F8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 Provesti servis baterije u skladu sa smjernicama proizvođača</w:t>
            </w:r>
          </w:p>
        </w:tc>
      </w:tr>
      <w:tr w:rsidR="00CC717C" w:rsidRPr="00DF273E" w14:paraId="1F9D17CC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46DD1B" w14:textId="7EA67D73" w:rsidR="00CC717C" w:rsidRPr="00D03242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D0324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 Pustiti bateriju u pogon koristeći specijaliziranu opremu za ispitivanje visokog napona</w:t>
            </w:r>
          </w:p>
        </w:tc>
      </w:tr>
      <w:tr w:rsidR="00CC717C" w:rsidRPr="00DF273E" w14:paraId="648784D1" w14:textId="77777777" w:rsidTr="00D5494F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46ADD4" w14:textId="4BAFBAEB" w:rsidR="00CC717C" w:rsidRPr="00D03242" w:rsidRDefault="009E0422" w:rsidP="00CC717C">
            <w:pPr>
              <w:tabs>
                <w:tab w:val="left" w:pos="2820"/>
              </w:tabs>
              <w:spacing w:after="0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D0324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8. Zbrinuti ili reciklirati komponente baterija u skladu sa zakonskim i organizacijskim procedurama</w:t>
            </w:r>
          </w:p>
        </w:tc>
      </w:tr>
      <w:tr w:rsidR="00CC717C" w:rsidRPr="00DF273E" w14:paraId="5DA4928E" w14:textId="77777777" w:rsidTr="0055092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A6AF6B" w14:textId="77777777" w:rsidR="00CC717C" w:rsidRPr="00DF273E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C717C" w:rsidRPr="00DF273E" w14:paraId="5898876C" w14:textId="77777777" w:rsidTr="0055092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974701" w14:textId="79F4852D" w:rsidR="00CC717C" w:rsidRPr="00DF273E" w:rsidRDefault="00AB5372" w:rsidP="00485CBD">
            <w:pPr>
              <w:spacing w:after="0"/>
              <w:jc w:val="both"/>
              <w:rPr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iCs/>
                <w:noProof/>
                <w:color w:val="000000"/>
                <w:sz w:val="20"/>
                <w:szCs w:val="20"/>
                <w:lang w:val="hr-HR"/>
              </w:rPr>
              <w:t>Dominantni</w:t>
            </w:r>
            <w:r w:rsidR="00CC717C" w:rsidRPr="00DF273E">
              <w:rPr>
                <w:bCs/>
                <w:sz w:val="20"/>
                <w:szCs w:val="20"/>
                <w:lang w:val="hr-HR"/>
              </w:rPr>
              <w:t xml:space="preserve"> nastavni sustav modula Servisiranje i održavanje </w:t>
            </w:r>
            <w:r w:rsidR="009E0422" w:rsidRPr="00DF273E">
              <w:rPr>
                <w:bCs/>
                <w:sz w:val="20"/>
                <w:szCs w:val="20"/>
                <w:lang w:val="hr-HR"/>
              </w:rPr>
              <w:t>baterija HEV/EV</w:t>
            </w:r>
            <w:r w:rsidR="00CC717C" w:rsidRPr="00DF273E">
              <w:rPr>
                <w:bCs/>
                <w:sz w:val="20"/>
                <w:szCs w:val="20"/>
                <w:lang w:val="hr-HR"/>
              </w:rPr>
              <w:t xml:space="preserve"> je </w:t>
            </w:r>
            <w:r w:rsidR="00CC717C" w:rsidRPr="00DF273E">
              <w:rPr>
                <w:b/>
                <w:bCs/>
                <w:sz w:val="20"/>
                <w:szCs w:val="20"/>
                <w:lang w:val="hr-HR"/>
              </w:rPr>
              <w:t>učenje temeljeno na radu</w:t>
            </w:r>
            <w:r w:rsidR="00CC717C" w:rsidRPr="00DF273E">
              <w:rPr>
                <w:bCs/>
                <w:sz w:val="20"/>
                <w:szCs w:val="20"/>
                <w:lang w:val="hr-HR"/>
              </w:rPr>
              <w:t>.</w:t>
            </w:r>
          </w:p>
          <w:p w14:paraId="7F8B96AD" w14:textId="786CF376" w:rsidR="00CC717C" w:rsidRPr="00DF273E" w:rsidRDefault="00CC717C" w:rsidP="00485CBD">
            <w:pPr>
              <w:spacing w:after="0"/>
              <w:jc w:val="both"/>
              <w:rPr>
                <w:rFonts w:asciiTheme="minorHAnsi" w:eastAsiaTheme="minorHAnsi" w:hAnsiTheme="minorHAnsi" w:cstheme="minorHAnsi"/>
                <w:i/>
                <w:iCs/>
                <w:noProof/>
                <w:color w:val="000000"/>
                <w:sz w:val="16"/>
                <w:szCs w:val="16"/>
                <w:lang w:val="hr-HR" w:eastAsia="en-US"/>
              </w:rPr>
            </w:pPr>
            <w:r w:rsidRPr="00DF273E">
              <w:rPr>
                <w:bCs/>
                <w:sz w:val="20"/>
                <w:szCs w:val="20"/>
                <w:lang w:val="hr-HR"/>
              </w:rPr>
              <w:t xml:space="preserve">Prije procesa učenja temeljenog na radu, vođenim procesom učenja i poučavanja polaznik će steći teorijska znanja  o </w:t>
            </w:r>
            <w:r w:rsidR="009E0422" w:rsidRPr="00DF273E">
              <w:rPr>
                <w:bCs/>
                <w:sz w:val="20"/>
                <w:szCs w:val="20"/>
                <w:lang w:val="hr-HR"/>
              </w:rPr>
              <w:t xml:space="preserve"> </w:t>
            </w:r>
            <w:r w:rsidR="00F7259D" w:rsidRPr="00DF273E">
              <w:rPr>
                <w:bCs/>
                <w:sz w:val="20"/>
                <w:szCs w:val="20"/>
                <w:lang w:val="hr-HR"/>
              </w:rPr>
              <w:t xml:space="preserve">visokonaponskim baterijama u HEV/EV, </w:t>
            </w:r>
            <w:r w:rsidRPr="00DF273E">
              <w:rPr>
                <w:bCs/>
                <w:sz w:val="20"/>
                <w:szCs w:val="20"/>
                <w:lang w:val="hr-HR"/>
              </w:rPr>
              <w:t xml:space="preserve">te principu njihova rada i načinu primjene odgovarajućih alata i opreme za rad s </w:t>
            </w:r>
            <w:r w:rsidR="008200C0" w:rsidRPr="00DF273E">
              <w:rPr>
                <w:bCs/>
                <w:sz w:val="20"/>
                <w:szCs w:val="20"/>
                <w:lang w:val="hr-HR"/>
              </w:rPr>
              <w:t xml:space="preserve">baterijama u </w:t>
            </w:r>
            <w:r w:rsidRPr="00DF273E">
              <w:rPr>
                <w:bCs/>
                <w:sz w:val="20"/>
                <w:szCs w:val="20"/>
                <w:lang w:val="hr-HR"/>
              </w:rPr>
              <w:t>HEV</w:t>
            </w:r>
            <w:r w:rsidR="00CE72F7" w:rsidRPr="00DF273E">
              <w:rPr>
                <w:bCs/>
                <w:sz w:val="20"/>
                <w:szCs w:val="20"/>
                <w:lang w:val="hr-HR"/>
              </w:rPr>
              <w:t>/EV</w:t>
            </w:r>
            <w:r w:rsidR="005F0683" w:rsidRPr="00DF273E">
              <w:rPr>
                <w:bCs/>
                <w:sz w:val="20"/>
                <w:szCs w:val="20"/>
                <w:lang w:val="hr-HR"/>
              </w:rPr>
              <w:t xml:space="preserve"> te njihovo testiranje</w:t>
            </w:r>
            <w:r w:rsidRPr="00DF273E">
              <w:rPr>
                <w:bCs/>
                <w:sz w:val="20"/>
                <w:szCs w:val="20"/>
                <w:lang w:val="hr-HR"/>
              </w:rPr>
              <w:t>.</w:t>
            </w:r>
            <w:r w:rsidR="005F0683" w:rsidRPr="00DF273E">
              <w:rPr>
                <w:bCs/>
                <w:sz w:val="20"/>
                <w:szCs w:val="20"/>
                <w:lang w:val="hr-HR"/>
              </w:rPr>
              <w:t xml:space="preserve"> Naučiti će i pravilne oblike zbrinjavanja </w:t>
            </w:r>
            <w:r w:rsidR="008C6A02" w:rsidRPr="00DF273E">
              <w:rPr>
                <w:bCs/>
                <w:sz w:val="20"/>
                <w:szCs w:val="20"/>
                <w:lang w:val="hr-HR"/>
              </w:rPr>
              <w:t xml:space="preserve">i reciklaže komponenti baterija u skladu s zakonom i organizacijskim </w:t>
            </w:r>
            <w:r w:rsidR="00DF273E" w:rsidRPr="00DF273E">
              <w:rPr>
                <w:bCs/>
                <w:sz w:val="20"/>
                <w:szCs w:val="20"/>
                <w:lang w:val="hr-HR"/>
              </w:rPr>
              <w:t>procedurama</w:t>
            </w:r>
            <w:r w:rsidR="008C6A02" w:rsidRPr="00DF273E">
              <w:rPr>
                <w:bCs/>
                <w:sz w:val="20"/>
                <w:szCs w:val="20"/>
                <w:lang w:val="hr-HR"/>
              </w:rPr>
              <w:t>.</w:t>
            </w:r>
          </w:p>
          <w:p w14:paraId="29205639" w14:textId="0F03A982" w:rsidR="00CC717C" w:rsidRPr="00DF273E" w:rsidRDefault="00CC717C" w:rsidP="00485CBD">
            <w:pPr>
              <w:spacing w:after="0"/>
              <w:jc w:val="both"/>
              <w:rPr>
                <w:sz w:val="20"/>
                <w:szCs w:val="20"/>
                <w:lang w:val="hr-HR"/>
              </w:rPr>
            </w:pPr>
            <w:r w:rsidRPr="00DF273E">
              <w:rPr>
                <w:b/>
                <w:sz w:val="20"/>
                <w:szCs w:val="20"/>
                <w:lang w:val="hr-HR"/>
              </w:rPr>
              <w:t xml:space="preserve">Učenjem temeljenom na radu, </w:t>
            </w:r>
            <w:r w:rsidRPr="00DF273E">
              <w:rPr>
                <w:sz w:val="20"/>
                <w:szCs w:val="20"/>
                <w:lang w:val="hr-HR"/>
              </w:rPr>
              <w:t xml:space="preserve">kod poslodavca, </w:t>
            </w:r>
            <w:r w:rsidRPr="00DF273E">
              <w:rPr>
                <w:b/>
                <w:sz w:val="20"/>
                <w:szCs w:val="20"/>
                <w:lang w:val="hr-HR"/>
              </w:rPr>
              <w:t>na radnom mjestu</w:t>
            </w:r>
            <w:r w:rsidRPr="00DF273E">
              <w:rPr>
                <w:sz w:val="20"/>
                <w:szCs w:val="20"/>
                <w:lang w:val="hr-HR"/>
              </w:rPr>
              <w:t xml:space="preserve"> polaznik će koristiti alate i opremu te vršiti </w:t>
            </w:r>
            <w:r w:rsidR="00631E68" w:rsidRPr="00DF273E">
              <w:rPr>
                <w:sz w:val="20"/>
                <w:szCs w:val="20"/>
                <w:lang w:val="hr-HR"/>
              </w:rPr>
              <w:t xml:space="preserve">smanjivanje napona baterije na sigurnu radnu vrijednost, uklanjanje visokonaponske </w:t>
            </w:r>
            <w:r w:rsidR="00DF0202" w:rsidRPr="00DF273E">
              <w:rPr>
                <w:sz w:val="20"/>
                <w:szCs w:val="20"/>
                <w:lang w:val="hr-HR"/>
              </w:rPr>
              <w:t>baterije, testiranje baterije, servisiranje baterije, puštanje u pogon</w:t>
            </w:r>
            <w:r w:rsidR="00784C67" w:rsidRPr="00DF273E">
              <w:rPr>
                <w:sz w:val="20"/>
                <w:szCs w:val="20"/>
                <w:lang w:val="hr-HR"/>
              </w:rPr>
              <w:t xml:space="preserve"> baterije koristeći specijaliziranu opremu za ispitivanje visokog napona, te ispravno zbrinjavati</w:t>
            </w:r>
            <w:r w:rsidR="00AC62A1" w:rsidRPr="00DF273E">
              <w:rPr>
                <w:sz w:val="20"/>
                <w:szCs w:val="20"/>
                <w:lang w:val="hr-HR"/>
              </w:rPr>
              <w:t xml:space="preserve"> otpad i reciklirati komponente baterija. </w:t>
            </w:r>
            <w:r w:rsidRPr="00DF273E">
              <w:rPr>
                <w:sz w:val="20"/>
                <w:szCs w:val="20"/>
                <w:lang w:val="hr-HR"/>
              </w:rPr>
              <w:t>Polazniku se omogućuje sudjelovanje u radnome procesu u kontroliranim uvjetima sve dok ne stekne potpune kompetencije za samostalan rad.</w:t>
            </w:r>
          </w:p>
        </w:tc>
      </w:tr>
      <w:tr w:rsidR="00CC717C" w:rsidRPr="00DF273E" w14:paraId="3AE46E90" w14:textId="77777777" w:rsidTr="004D766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E901558" w14:textId="77777777" w:rsidR="00CC717C" w:rsidRPr="00DF273E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59099" w14:textId="33F90391" w:rsidR="00726B48" w:rsidRPr="008E4E59" w:rsidRDefault="00726B48" w:rsidP="008E4E5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specijalizirana oprema za ispitivanje visokog napona</w:t>
            </w:r>
          </w:p>
          <w:p w14:paraId="278331FA" w14:textId="10AF900A" w:rsidR="00CC717C" w:rsidRPr="008E4E59" w:rsidRDefault="00CD53BD" w:rsidP="008E4E5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konstrukcija automobilskih visokonaponskih baterija</w:t>
            </w:r>
          </w:p>
          <w:p w14:paraId="31C62F8E" w14:textId="77777777" w:rsidR="00CD53BD" w:rsidRPr="008E4E59" w:rsidRDefault="00CD53BD" w:rsidP="008E4E5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oštećenja baterije i visokonaponskog prikl</w:t>
            </w:r>
            <w:r w:rsidR="00DF273E" w:rsidRPr="008E4E59">
              <w:rPr>
                <w:rFonts w:cstheme="minorHAnsi"/>
                <w:iCs/>
                <w:noProof/>
                <w:sz w:val="20"/>
                <w:szCs w:val="20"/>
              </w:rPr>
              <w:t>j</w:t>
            </w: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učka</w:t>
            </w:r>
            <w:r w:rsidR="00DF273E" w:rsidRPr="008E4E59">
              <w:rPr>
                <w:rFonts w:cstheme="minorHAnsi"/>
                <w:iCs/>
                <w:noProof/>
                <w:sz w:val="20"/>
                <w:szCs w:val="20"/>
              </w:rPr>
              <w:t xml:space="preserve"> i kabela</w:t>
            </w:r>
          </w:p>
          <w:p w14:paraId="5C04F5FB" w14:textId="77777777" w:rsidR="00F25B2E" w:rsidRPr="008E4E59" w:rsidRDefault="00F25B2E" w:rsidP="008E4E5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sigurna radna vrijednost baterije</w:t>
            </w:r>
          </w:p>
          <w:p w14:paraId="1A7CCBFD" w14:textId="77777777" w:rsidR="00F25B2E" w:rsidRPr="008E4E59" w:rsidRDefault="00F25B2E" w:rsidP="008E4E5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 xml:space="preserve">uklanjanje </w:t>
            </w:r>
            <w:r w:rsidR="00011DFF" w:rsidRPr="008E4E59">
              <w:rPr>
                <w:rFonts w:cstheme="minorHAnsi"/>
                <w:iCs/>
                <w:noProof/>
                <w:sz w:val="20"/>
                <w:szCs w:val="20"/>
              </w:rPr>
              <w:t>baterije</w:t>
            </w:r>
          </w:p>
          <w:p w14:paraId="6A9A9724" w14:textId="77777777" w:rsidR="00011DFF" w:rsidRPr="008E4E59" w:rsidRDefault="00011DFF" w:rsidP="008E4E5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testiranje baterije</w:t>
            </w:r>
          </w:p>
          <w:p w14:paraId="53565E53" w14:textId="77777777" w:rsidR="00011DFF" w:rsidRPr="008E4E59" w:rsidRDefault="00011DFF" w:rsidP="008E4E5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servis baterije</w:t>
            </w:r>
          </w:p>
          <w:p w14:paraId="284B7CF0" w14:textId="77777777" w:rsidR="00011DFF" w:rsidRPr="008E4E59" w:rsidRDefault="00726B48" w:rsidP="008E4E5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puštanje baterije u pogon</w:t>
            </w:r>
          </w:p>
          <w:p w14:paraId="4D150818" w14:textId="00827CA3" w:rsidR="00D03242" w:rsidRPr="008E4E59" w:rsidRDefault="00D03242" w:rsidP="008E4E59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8E4E59">
              <w:rPr>
                <w:rFonts w:cstheme="minorHAnsi"/>
                <w:iCs/>
                <w:noProof/>
                <w:sz w:val="20"/>
                <w:szCs w:val="20"/>
              </w:rPr>
              <w:t>ekološko zbrinjavanje i reciklaža komponenti baterija</w:t>
            </w:r>
          </w:p>
        </w:tc>
      </w:tr>
      <w:tr w:rsidR="00CC717C" w:rsidRPr="00DF273E" w14:paraId="091CAAF6" w14:textId="77777777" w:rsidTr="004D766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726F17" w14:textId="77777777" w:rsidR="00CC717C" w:rsidRPr="00DF273E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C717C" w:rsidRPr="00DF273E" w14:paraId="2C25829C" w14:textId="77777777" w:rsidTr="0055092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993BFB" w14:textId="25A2ACFF" w:rsidR="00CC717C" w:rsidRDefault="006C56D4" w:rsidP="008E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</w:pP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Ishodi učenja provjeravaju se pisano i/ili usmeno i/ili vježbom i/ili problemskim</w:t>
            </w:r>
            <w:r w:rsidR="00EF679C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 xml:space="preserve"> </w:t>
            </w: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zadatkom i/ili projektnom temom i/ili projektnim zadatkom i/ili radnom</w:t>
            </w:r>
            <w:r w:rsidR="00EF679C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 xml:space="preserve"> </w:t>
            </w:r>
            <w:r w:rsidRPr="00DF273E">
              <w:rPr>
                <w:rFonts w:ascii="DejaVuSans" w:eastAsiaTheme="minorHAnsi" w:hAnsi="DejaVuSans" w:cs="DejaVuSans"/>
                <w:sz w:val="20"/>
                <w:szCs w:val="20"/>
                <w:lang w:val="hr-HR" w:eastAsia="en-US"/>
              </w:rPr>
              <w:t>situacijom.</w:t>
            </w:r>
          </w:p>
          <w:p w14:paraId="0D1CA026" w14:textId="78A493E0" w:rsidR="005A0DF5" w:rsidRPr="00EF679C" w:rsidRDefault="000D591E" w:rsidP="008E4E5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EF679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Primjer vrednovanja:</w:t>
            </w:r>
          </w:p>
          <w:p w14:paraId="1E0E7830" w14:textId="5B1945DD" w:rsidR="005A0DF5" w:rsidRPr="000D591E" w:rsidRDefault="00713099" w:rsidP="008E4E59">
            <w:pPr>
              <w:jc w:val="both"/>
              <w:rPr>
                <w:sz w:val="20"/>
                <w:szCs w:val="20"/>
              </w:rPr>
            </w:pPr>
            <w:r w:rsidRPr="00713099">
              <w:rPr>
                <w:sz w:val="20"/>
                <w:szCs w:val="20"/>
              </w:rPr>
              <w:t xml:space="preserve">Polaznik će prepoznati i opisati građu različitih vrsta baterija korištenih u HEV/EV prema modelima ili prikazima. Nakon toga će na HEV/EV izvršiti vizualni pregled visokonaponskog priključka i baterije, te utvrditi postoji li oštećenje. </w:t>
            </w:r>
            <w:r w:rsidRPr="00713099">
              <w:rPr>
                <w:sz w:val="20"/>
                <w:szCs w:val="20"/>
              </w:rPr>
              <w:lastRenderedPageBreak/>
              <w:t>Nakon toga će pripremiti bateriju za daljnja postupanja smanjenjem napona, ukloniti je i pohraniti u izolirano područje s ograničenim pristupom. Korištenjem mjernih instrumenata odrediti će stanje napunjenosti baterije/ćelije. Demonstrirati će postupak ispitivanja komponenti baterije prema smjernicama proizvođača. Potom će instalirati bateriju prema uputama proizvođača, pridržavajući se mjera za rad na siguran način, te zbrinuti ili reciklirati komponente baterija</w:t>
            </w:r>
            <w:r w:rsidR="00615EA0">
              <w:rPr>
                <w:sz w:val="20"/>
                <w:szCs w:val="20"/>
              </w:rPr>
              <w:t xml:space="preserve"> pritom objašnjavajući važnost tog postupka i utjcaj na okoliš</w:t>
            </w:r>
            <w:r w:rsidRPr="00713099">
              <w:rPr>
                <w:sz w:val="20"/>
                <w:szCs w:val="20"/>
              </w:rPr>
              <w:t>.</w:t>
            </w:r>
          </w:p>
        </w:tc>
      </w:tr>
      <w:tr w:rsidR="00CC717C" w:rsidRPr="00DF273E" w14:paraId="2DF9D24B" w14:textId="77777777" w:rsidTr="00EF679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1064DA" w14:textId="77777777" w:rsidR="00CC717C" w:rsidRPr="00DF273E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F27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CC717C" w:rsidRPr="00DF273E" w14:paraId="13344E88" w14:textId="77777777" w:rsidTr="0055092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315FC8" w14:textId="5D2B4FD7" w:rsidR="00CC717C" w:rsidRPr="001F0B54" w:rsidRDefault="00CC717C" w:rsidP="00CC71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F273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6BC0AEF7" w14:textId="77777777" w:rsidR="00B63B85" w:rsidRPr="00DF273E" w:rsidRDefault="00B63B85" w:rsidP="00B63B85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A62380" w:rsidRPr="00DF273E" w14:paraId="21C41148" w14:textId="77777777" w:rsidTr="00070B37">
        <w:tc>
          <w:tcPr>
            <w:tcW w:w="9485" w:type="dxa"/>
            <w:shd w:val="clear" w:color="auto" w:fill="auto"/>
            <w:vAlign w:val="center"/>
          </w:tcPr>
          <w:p w14:paraId="51F1FC39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</w:pPr>
            <w:r w:rsidRPr="00DF273E">
              <w:rPr>
                <w:rFonts w:cstheme="minorHAnsi"/>
                <w:b/>
                <w:bCs/>
                <w:iCs/>
                <w:sz w:val="20"/>
                <w:szCs w:val="20"/>
                <w:lang w:val="hr-HR"/>
              </w:rPr>
              <w:t>*Napomena:</w:t>
            </w:r>
          </w:p>
          <w:p w14:paraId="15025DC8" w14:textId="77777777" w:rsidR="00A62380" w:rsidRDefault="00A62380" w:rsidP="00070B37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  <w:lang w:val="hr-HR"/>
              </w:rPr>
            </w:pPr>
            <w:r w:rsidRPr="00DF273E">
              <w:rPr>
                <w:rFonts w:cstheme="minorHAnsi"/>
                <w:i/>
                <w:sz w:val="20"/>
                <w:szCs w:val="20"/>
                <w:lang w:val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4B65F710" w14:textId="77777777" w:rsidR="00545C15" w:rsidRPr="00DF273E" w:rsidRDefault="00545C15" w:rsidP="00070B37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  <w:lang w:val="hr-HR"/>
              </w:rPr>
            </w:pPr>
          </w:p>
        </w:tc>
      </w:tr>
    </w:tbl>
    <w:p w14:paraId="79D7C348" w14:textId="77777777" w:rsidR="00A62380" w:rsidRPr="00DF273E" w:rsidRDefault="00A62380" w:rsidP="00A62380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  <w:lang w:val="hr-HR"/>
        </w:rPr>
      </w:pPr>
      <w:r w:rsidRPr="00DF273E">
        <w:rPr>
          <w:b/>
          <w:bCs/>
          <w:sz w:val="20"/>
          <w:szCs w:val="20"/>
          <w:lang w:val="hr-HR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A62380" w:rsidRPr="00DF273E" w14:paraId="2D4E1359" w14:textId="77777777" w:rsidTr="00070B3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656B8FF9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DF273E">
              <w:rPr>
                <w:rFonts w:cstheme="minorHAnsi"/>
                <w:iCs/>
                <w:sz w:val="20"/>
                <w:szCs w:val="20"/>
                <w:lang w:val="hr-HR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6A7F362C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  <w:tr w:rsidR="00A62380" w:rsidRPr="00DF273E" w14:paraId="3EFC1C40" w14:textId="77777777" w:rsidTr="00070B3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2748FD3F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DF273E">
              <w:rPr>
                <w:rFonts w:cstheme="minorHAnsi"/>
                <w:iCs/>
                <w:sz w:val="20"/>
                <w:szCs w:val="20"/>
                <w:lang w:val="hr-HR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6283167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  <w:tr w:rsidR="00A62380" w:rsidRPr="00DF273E" w14:paraId="7ABC4B1B" w14:textId="77777777" w:rsidTr="00070B37">
        <w:tc>
          <w:tcPr>
            <w:tcW w:w="4630" w:type="dxa"/>
            <w:hideMark/>
          </w:tcPr>
          <w:p w14:paraId="68D4A94D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  <w:r w:rsidRPr="00DF273E">
              <w:rPr>
                <w:rFonts w:cstheme="minorHAnsi"/>
                <w:iCs/>
                <w:sz w:val="20"/>
                <w:szCs w:val="20"/>
                <w:lang w:val="hr-HR"/>
              </w:rPr>
              <w:t>Datum izdavanja mišljenja na program:</w:t>
            </w:r>
          </w:p>
        </w:tc>
        <w:tc>
          <w:tcPr>
            <w:tcW w:w="4886" w:type="dxa"/>
          </w:tcPr>
          <w:p w14:paraId="416FD7F3" w14:textId="77777777" w:rsidR="00A62380" w:rsidRPr="00DF273E" w:rsidRDefault="00A62380" w:rsidP="00070B3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  <w:lang w:val="hr-HR"/>
              </w:rPr>
            </w:pPr>
          </w:p>
        </w:tc>
      </w:tr>
    </w:tbl>
    <w:p w14:paraId="249A561A" w14:textId="77777777" w:rsidR="00B63B85" w:rsidRPr="00DF273E" w:rsidRDefault="00B63B85" w:rsidP="00B63B85">
      <w:pPr>
        <w:rPr>
          <w:rFonts w:asciiTheme="minorHAnsi" w:hAnsiTheme="minorHAnsi" w:cstheme="minorHAnsi"/>
          <w:noProof/>
          <w:lang w:val="hr-HR"/>
        </w:rPr>
      </w:pPr>
    </w:p>
    <w:p w14:paraId="4FE5F0B2" w14:textId="77777777" w:rsidR="008E10C2" w:rsidRPr="00DF273E" w:rsidRDefault="008E10C2">
      <w:pPr>
        <w:rPr>
          <w:lang w:val="hr-HR"/>
        </w:rPr>
      </w:pPr>
    </w:p>
    <w:sectPr w:rsidR="008E10C2" w:rsidRPr="00DF273E" w:rsidSect="00A12B46">
      <w:footerReference w:type="default" r:id="rId2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47A4" w14:textId="77777777" w:rsidR="00402ABE" w:rsidRDefault="00402ABE" w:rsidP="00C759FB">
      <w:pPr>
        <w:spacing w:after="0" w:line="240" w:lineRule="auto"/>
      </w:pPr>
      <w:r>
        <w:separator/>
      </w:r>
    </w:p>
  </w:endnote>
  <w:endnote w:type="continuationSeparator" w:id="0">
    <w:p w14:paraId="6E49F13F" w14:textId="77777777" w:rsidR="00402ABE" w:rsidRDefault="00402ABE" w:rsidP="00C759FB">
      <w:pPr>
        <w:spacing w:after="0" w:line="240" w:lineRule="auto"/>
      </w:pPr>
      <w:r>
        <w:continuationSeparator/>
      </w:r>
    </w:p>
  </w:endnote>
  <w:endnote w:type="continuationNotice" w:id="1">
    <w:p w14:paraId="447A0FCB" w14:textId="77777777" w:rsidR="00402ABE" w:rsidRDefault="00402A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1730" w14:textId="7A4EF0B5" w:rsidR="00A12B46" w:rsidRDefault="00A12B46" w:rsidP="000E3598">
    <w:pPr>
      <w:pStyle w:val="Footer"/>
      <w:tabs>
        <w:tab w:val="clear" w:pos="4513"/>
        <w:tab w:val="clear" w:pos="9026"/>
        <w:tab w:val="left" w:pos="339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258C1" w14:textId="77777777" w:rsidR="00402ABE" w:rsidRDefault="00402ABE" w:rsidP="00C759FB">
      <w:pPr>
        <w:spacing w:after="0" w:line="240" w:lineRule="auto"/>
      </w:pPr>
      <w:r>
        <w:separator/>
      </w:r>
    </w:p>
  </w:footnote>
  <w:footnote w:type="continuationSeparator" w:id="0">
    <w:p w14:paraId="5BC01D16" w14:textId="77777777" w:rsidR="00402ABE" w:rsidRDefault="00402ABE" w:rsidP="00C759FB">
      <w:pPr>
        <w:spacing w:after="0" w:line="240" w:lineRule="auto"/>
      </w:pPr>
      <w:r>
        <w:continuationSeparator/>
      </w:r>
    </w:p>
  </w:footnote>
  <w:footnote w:type="continuationNotice" w:id="1">
    <w:p w14:paraId="5BE123D8" w14:textId="77777777" w:rsidR="00402ABE" w:rsidRDefault="00402A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7A6"/>
    <w:multiLevelType w:val="hybridMultilevel"/>
    <w:tmpl w:val="C7CC7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86432"/>
    <w:multiLevelType w:val="hybridMultilevel"/>
    <w:tmpl w:val="49186A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01C97"/>
    <w:multiLevelType w:val="hybridMultilevel"/>
    <w:tmpl w:val="ABB4BB3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50E12"/>
    <w:multiLevelType w:val="hybridMultilevel"/>
    <w:tmpl w:val="037291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A2D24"/>
    <w:multiLevelType w:val="hybridMultilevel"/>
    <w:tmpl w:val="2EE69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24BFE"/>
    <w:multiLevelType w:val="hybridMultilevel"/>
    <w:tmpl w:val="40CAE5F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1509A"/>
    <w:multiLevelType w:val="hybridMultilevel"/>
    <w:tmpl w:val="EC68D0CA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77A67"/>
    <w:multiLevelType w:val="hybridMultilevel"/>
    <w:tmpl w:val="34AACD00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D1461"/>
    <w:multiLevelType w:val="hybridMultilevel"/>
    <w:tmpl w:val="83A6E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E44AB"/>
    <w:multiLevelType w:val="hybridMultilevel"/>
    <w:tmpl w:val="364EBE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61A15"/>
    <w:multiLevelType w:val="hybridMultilevel"/>
    <w:tmpl w:val="997498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2FE9"/>
    <w:multiLevelType w:val="hybridMultilevel"/>
    <w:tmpl w:val="5B2E6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716DA"/>
    <w:multiLevelType w:val="hybridMultilevel"/>
    <w:tmpl w:val="A4109F8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44EFD"/>
    <w:multiLevelType w:val="hybridMultilevel"/>
    <w:tmpl w:val="224AB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25193"/>
    <w:multiLevelType w:val="hybridMultilevel"/>
    <w:tmpl w:val="60540C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96CB0"/>
    <w:multiLevelType w:val="hybridMultilevel"/>
    <w:tmpl w:val="21AC4F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723940"/>
    <w:multiLevelType w:val="hybridMultilevel"/>
    <w:tmpl w:val="24648F98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BC0159"/>
    <w:multiLevelType w:val="hybridMultilevel"/>
    <w:tmpl w:val="9F8C6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C6C27"/>
    <w:multiLevelType w:val="hybridMultilevel"/>
    <w:tmpl w:val="62A024BC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0200AA"/>
    <w:multiLevelType w:val="hybridMultilevel"/>
    <w:tmpl w:val="83D63874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9524D0"/>
    <w:multiLevelType w:val="hybridMultilevel"/>
    <w:tmpl w:val="B7166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115140">
    <w:abstractNumId w:val="1"/>
  </w:num>
  <w:num w:numId="2" w16cid:durableId="1805076915">
    <w:abstractNumId w:val="21"/>
  </w:num>
  <w:num w:numId="3" w16cid:durableId="1689477574">
    <w:abstractNumId w:val="0"/>
  </w:num>
  <w:num w:numId="4" w16cid:durableId="1467159305">
    <w:abstractNumId w:val="15"/>
  </w:num>
  <w:num w:numId="5" w16cid:durableId="897591222">
    <w:abstractNumId w:val="12"/>
  </w:num>
  <w:num w:numId="6" w16cid:durableId="2006855388">
    <w:abstractNumId w:val="5"/>
  </w:num>
  <w:num w:numId="7" w16cid:durableId="1153720097">
    <w:abstractNumId w:val="2"/>
  </w:num>
  <w:num w:numId="8" w16cid:durableId="675687998">
    <w:abstractNumId w:val="17"/>
  </w:num>
  <w:num w:numId="9" w16cid:durableId="615790499">
    <w:abstractNumId w:val="3"/>
  </w:num>
  <w:num w:numId="10" w16cid:durableId="1345016069">
    <w:abstractNumId w:val="19"/>
  </w:num>
  <w:num w:numId="11" w16cid:durableId="406617645">
    <w:abstractNumId w:val="11"/>
  </w:num>
  <w:num w:numId="12" w16cid:durableId="1615599081">
    <w:abstractNumId w:val="7"/>
  </w:num>
  <w:num w:numId="13" w16cid:durableId="1448935585">
    <w:abstractNumId w:val="10"/>
  </w:num>
  <w:num w:numId="14" w16cid:durableId="415438677">
    <w:abstractNumId w:val="22"/>
  </w:num>
  <w:num w:numId="15" w16cid:durableId="245498731">
    <w:abstractNumId w:val="4"/>
  </w:num>
  <w:num w:numId="16" w16cid:durableId="1329091341">
    <w:abstractNumId w:val="18"/>
  </w:num>
  <w:num w:numId="17" w16cid:durableId="1811048912">
    <w:abstractNumId w:val="20"/>
  </w:num>
  <w:num w:numId="18" w16cid:durableId="1943759801">
    <w:abstractNumId w:val="14"/>
  </w:num>
  <w:num w:numId="19" w16cid:durableId="567542022">
    <w:abstractNumId w:val="23"/>
  </w:num>
  <w:num w:numId="20" w16cid:durableId="405762517">
    <w:abstractNumId w:val="16"/>
  </w:num>
  <w:num w:numId="21" w16cid:durableId="1715501378">
    <w:abstractNumId w:val="8"/>
  </w:num>
  <w:num w:numId="22" w16cid:durableId="2091458803">
    <w:abstractNumId w:val="9"/>
  </w:num>
  <w:num w:numId="23" w16cid:durableId="1939217971">
    <w:abstractNumId w:val="6"/>
  </w:num>
  <w:num w:numId="24" w16cid:durableId="602302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6C85"/>
    <w:rsid w:val="00011DFF"/>
    <w:rsid w:val="00012313"/>
    <w:rsid w:val="000133D0"/>
    <w:rsid w:val="00015731"/>
    <w:rsid w:val="0001698F"/>
    <w:rsid w:val="000279B0"/>
    <w:rsid w:val="00032212"/>
    <w:rsid w:val="00037323"/>
    <w:rsid w:val="00045E67"/>
    <w:rsid w:val="00052C8F"/>
    <w:rsid w:val="00053765"/>
    <w:rsid w:val="0005628C"/>
    <w:rsid w:val="000717AC"/>
    <w:rsid w:val="000A0626"/>
    <w:rsid w:val="000A1293"/>
    <w:rsid w:val="000A43B2"/>
    <w:rsid w:val="000D591E"/>
    <w:rsid w:val="000E3598"/>
    <w:rsid w:val="000F647F"/>
    <w:rsid w:val="00102DAC"/>
    <w:rsid w:val="0010614D"/>
    <w:rsid w:val="00114B5E"/>
    <w:rsid w:val="00121198"/>
    <w:rsid w:val="00146446"/>
    <w:rsid w:val="0015121C"/>
    <w:rsid w:val="00173E46"/>
    <w:rsid w:val="00184AB2"/>
    <w:rsid w:val="001A2C8D"/>
    <w:rsid w:val="001A5302"/>
    <w:rsid w:val="001B0613"/>
    <w:rsid w:val="001B3980"/>
    <w:rsid w:val="001B7791"/>
    <w:rsid w:val="001C2905"/>
    <w:rsid w:val="001C77B2"/>
    <w:rsid w:val="001E4AE6"/>
    <w:rsid w:val="001E5A29"/>
    <w:rsid w:val="001F0B54"/>
    <w:rsid w:val="001F59B8"/>
    <w:rsid w:val="00212195"/>
    <w:rsid w:val="002132BF"/>
    <w:rsid w:val="00213837"/>
    <w:rsid w:val="00213A68"/>
    <w:rsid w:val="00222FCB"/>
    <w:rsid w:val="0022758F"/>
    <w:rsid w:val="0024470A"/>
    <w:rsid w:val="0025082D"/>
    <w:rsid w:val="002511B6"/>
    <w:rsid w:val="002866D8"/>
    <w:rsid w:val="002951DA"/>
    <w:rsid w:val="002A3838"/>
    <w:rsid w:val="002B6D3B"/>
    <w:rsid w:val="002C0A6A"/>
    <w:rsid w:val="002D05AA"/>
    <w:rsid w:val="002D5233"/>
    <w:rsid w:val="002E076F"/>
    <w:rsid w:val="002E3A97"/>
    <w:rsid w:val="002E5EAB"/>
    <w:rsid w:val="002E7D5A"/>
    <w:rsid w:val="002F2BC7"/>
    <w:rsid w:val="003036F7"/>
    <w:rsid w:val="00327914"/>
    <w:rsid w:val="00333EC8"/>
    <w:rsid w:val="00343228"/>
    <w:rsid w:val="0036132C"/>
    <w:rsid w:val="003640CA"/>
    <w:rsid w:val="003773C0"/>
    <w:rsid w:val="00380DA2"/>
    <w:rsid w:val="0039525C"/>
    <w:rsid w:val="003A7665"/>
    <w:rsid w:val="003C42E2"/>
    <w:rsid w:val="003F6B2F"/>
    <w:rsid w:val="00402ABE"/>
    <w:rsid w:val="00417162"/>
    <w:rsid w:val="004371D3"/>
    <w:rsid w:val="00457516"/>
    <w:rsid w:val="004604EF"/>
    <w:rsid w:val="00463683"/>
    <w:rsid w:val="00472A1D"/>
    <w:rsid w:val="00485CBD"/>
    <w:rsid w:val="00487D37"/>
    <w:rsid w:val="004928E1"/>
    <w:rsid w:val="0049491E"/>
    <w:rsid w:val="004B0589"/>
    <w:rsid w:val="004D41D4"/>
    <w:rsid w:val="004D7665"/>
    <w:rsid w:val="00505AAD"/>
    <w:rsid w:val="00545C15"/>
    <w:rsid w:val="00564AE0"/>
    <w:rsid w:val="00576FA4"/>
    <w:rsid w:val="005811F0"/>
    <w:rsid w:val="005839F8"/>
    <w:rsid w:val="00591A42"/>
    <w:rsid w:val="00597AC6"/>
    <w:rsid w:val="005A0DF5"/>
    <w:rsid w:val="005A7CC6"/>
    <w:rsid w:val="005B2A34"/>
    <w:rsid w:val="005C491D"/>
    <w:rsid w:val="005F0683"/>
    <w:rsid w:val="005F272A"/>
    <w:rsid w:val="00613FB2"/>
    <w:rsid w:val="00615EA0"/>
    <w:rsid w:val="00631E68"/>
    <w:rsid w:val="0065267C"/>
    <w:rsid w:val="0065763A"/>
    <w:rsid w:val="00671717"/>
    <w:rsid w:val="006906B8"/>
    <w:rsid w:val="00692A91"/>
    <w:rsid w:val="006B02BB"/>
    <w:rsid w:val="006B163E"/>
    <w:rsid w:val="006C0351"/>
    <w:rsid w:val="006C56D4"/>
    <w:rsid w:val="006F1A3F"/>
    <w:rsid w:val="006F1F48"/>
    <w:rsid w:val="006F241F"/>
    <w:rsid w:val="00713099"/>
    <w:rsid w:val="00716D85"/>
    <w:rsid w:val="00716E90"/>
    <w:rsid w:val="00717A6B"/>
    <w:rsid w:val="00726512"/>
    <w:rsid w:val="00726B48"/>
    <w:rsid w:val="00745DB4"/>
    <w:rsid w:val="00753384"/>
    <w:rsid w:val="00754668"/>
    <w:rsid w:val="00784C67"/>
    <w:rsid w:val="007A1057"/>
    <w:rsid w:val="007A38E8"/>
    <w:rsid w:val="007A50A0"/>
    <w:rsid w:val="007C40BB"/>
    <w:rsid w:val="008200C0"/>
    <w:rsid w:val="0083071B"/>
    <w:rsid w:val="00843D6D"/>
    <w:rsid w:val="00844401"/>
    <w:rsid w:val="00866596"/>
    <w:rsid w:val="0086790B"/>
    <w:rsid w:val="008705A8"/>
    <w:rsid w:val="008708F7"/>
    <w:rsid w:val="008771F7"/>
    <w:rsid w:val="008867FE"/>
    <w:rsid w:val="00894EB5"/>
    <w:rsid w:val="008955E7"/>
    <w:rsid w:val="00897703"/>
    <w:rsid w:val="008B2BD4"/>
    <w:rsid w:val="008B6BED"/>
    <w:rsid w:val="008C6A02"/>
    <w:rsid w:val="008D4793"/>
    <w:rsid w:val="008E10C2"/>
    <w:rsid w:val="008E4E59"/>
    <w:rsid w:val="008E5B00"/>
    <w:rsid w:val="00913D37"/>
    <w:rsid w:val="009326FE"/>
    <w:rsid w:val="009356E2"/>
    <w:rsid w:val="00936DB1"/>
    <w:rsid w:val="0094516E"/>
    <w:rsid w:val="009463C2"/>
    <w:rsid w:val="00974133"/>
    <w:rsid w:val="00977C49"/>
    <w:rsid w:val="0098057B"/>
    <w:rsid w:val="00995344"/>
    <w:rsid w:val="009A4C84"/>
    <w:rsid w:val="009C3C07"/>
    <w:rsid w:val="009E0422"/>
    <w:rsid w:val="00A03CF7"/>
    <w:rsid w:val="00A12B46"/>
    <w:rsid w:val="00A1711A"/>
    <w:rsid w:val="00A37F50"/>
    <w:rsid w:val="00A53309"/>
    <w:rsid w:val="00A56105"/>
    <w:rsid w:val="00A62380"/>
    <w:rsid w:val="00A731D5"/>
    <w:rsid w:val="00A774A6"/>
    <w:rsid w:val="00A83AD1"/>
    <w:rsid w:val="00A856F9"/>
    <w:rsid w:val="00A909FA"/>
    <w:rsid w:val="00AB5372"/>
    <w:rsid w:val="00AC1DF6"/>
    <w:rsid w:val="00AC62A1"/>
    <w:rsid w:val="00AD4D4A"/>
    <w:rsid w:val="00AE00CE"/>
    <w:rsid w:val="00AE4955"/>
    <w:rsid w:val="00AF57FB"/>
    <w:rsid w:val="00B15A2F"/>
    <w:rsid w:val="00B23A58"/>
    <w:rsid w:val="00B26400"/>
    <w:rsid w:val="00B52B2B"/>
    <w:rsid w:val="00B54D9F"/>
    <w:rsid w:val="00B63B85"/>
    <w:rsid w:val="00B671BF"/>
    <w:rsid w:val="00BB69AC"/>
    <w:rsid w:val="00BD2671"/>
    <w:rsid w:val="00BE3171"/>
    <w:rsid w:val="00C00230"/>
    <w:rsid w:val="00C04AF2"/>
    <w:rsid w:val="00C1047C"/>
    <w:rsid w:val="00C305F2"/>
    <w:rsid w:val="00C407C4"/>
    <w:rsid w:val="00C56E92"/>
    <w:rsid w:val="00C713B2"/>
    <w:rsid w:val="00C759FB"/>
    <w:rsid w:val="00CA7C0B"/>
    <w:rsid w:val="00CB3495"/>
    <w:rsid w:val="00CB3F0A"/>
    <w:rsid w:val="00CC0E5D"/>
    <w:rsid w:val="00CC3DC2"/>
    <w:rsid w:val="00CC717C"/>
    <w:rsid w:val="00CD0658"/>
    <w:rsid w:val="00CD53BD"/>
    <w:rsid w:val="00CE0FFE"/>
    <w:rsid w:val="00CE466D"/>
    <w:rsid w:val="00CE72F7"/>
    <w:rsid w:val="00CE7C71"/>
    <w:rsid w:val="00CF08D3"/>
    <w:rsid w:val="00D03242"/>
    <w:rsid w:val="00D155E8"/>
    <w:rsid w:val="00D342E7"/>
    <w:rsid w:val="00D439ED"/>
    <w:rsid w:val="00D50B09"/>
    <w:rsid w:val="00D76505"/>
    <w:rsid w:val="00D825E0"/>
    <w:rsid w:val="00D9781B"/>
    <w:rsid w:val="00D97FC3"/>
    <w:rsid w:val="00DA4537"/>
    <w:rsid w:val="00DC66B5"/>
    <w:rsid w:val="00DD1951"/>
    <w:rsid w:val="00DD6738"/>
    <w:rsid w:val="00DF0202"/>
    <w:rsid w:val="00DF273E"/>
    <w:rsid w:val="00E034CB"/>
    <w:rsid w:val="00E1288F"/>
    <w:rsid w:val="00E20EBE"/>
    <w:rsid w:val="00E41931"/>
    <w:rsid w:val="00E50AD6"/>
    <w:rsid w:val="00E7445A"/>
    <w:rsid w:val="00E86431"/>
    <w:rsid w:val="00E91CE6"/>
    <w:rsid w:val="00EA77BA"/>
    <w:rsid w:val="00EC4968"/>
    <w:rsid w:val="00EC6235"/>
    <w:rsid w:val="00EE5E84"/>
    <w:rsid w:val="00EF679C"/>
    <w:rsid w:val="00F12BEB"/>
    <w:rsid w:val="00F149B7"/>
    <w:rsid w:val="00F14A19"/>
    <w:rsid w:val="00F16AB1"/>
    <w:rsid w:val="00F220A8"/>
    <w:rsid w:val="00F25B2E"/>
    <w:rsid w:val="00F35919"/>
    <w:rsid w:val="00F46F26"/>
    <w:rsid w:val="00F55D69"/>
    <w:rsid w:val="00F6672D"/>
    <w:rsid w:val="00F71A5E"/>
    <w:rsid w:val="00F7259D"/>
    <w:rsid w:val="00F74044"/>
    <w:rsid w:val="00F81954"/>
    <w:rsid w:val="00F81957"/>
    <w:rsid w:val="00F84815"/>
    <w:rsid w:val="00F91E1E"/>
    <w:rsid w:val="00FA75F8"/>
    <w:rsid w:val="00FB0D00"/>
    <w:rsid w:val="00FB35BB"/>
    <w:rsid w:val="00FC1661"/>
    <w:rsid w:val="00FC2256"/>
    <w:rsid w:val="00FE0F36"/>
    <w:rsid w:val="00FE1978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E3A27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64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4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68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EC4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68"/>
    <w:rPr>
      <w:rFonts w:ascii="Calibri" w:eastAsia="Calibri" w:hAnsi="Calibri" w:cs="Calibri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894E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4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C8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58F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5C4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5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39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7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2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tandard-kvalifikacije/detalji/530" TargetMode="External"/><Relationship Id="rId18" Type="http://schemas.openxmlformats.org/officeDocument/2006/relationships/hyperlink" Target="https://hko.srce.hr/registar/skup-ishoda-ucenja/detalji/1447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4299" TargetMode="External"/><Relationship Id="rId17" Type="http://schemas.openxmlformats.org/officeDocument/2006/relationships/hyperlink" Target="https://hko.srce.hr/registar/skup-ishoda-ucenja/detalji/14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44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621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1450" TargetMode="External"/><Relationship Id="rId10" Type="http://schemas.openxmlformats.org/officeDocument/2006/relationships/hyperlink" Target="https://hko.srce.hr/registar/standard-zanimanja/detalji/188" TargetMode="External"/><Relationship Id="rId19" Type="http://schemas.openxmlformats.org/officeDocument/2006/relationships/hyperlink" Target="https://hko.srce.hr/registar/skup-ishoda-ucenja/detalji/14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ishoda-ucenja/detalji/144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3" ma:contentTypeDescription="Stvaranje novog dokumenta." ma:contentTypeScope="" ma:versionID="1dfc0e9686211478d504c6077062084c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a38468fd1527ca4d61ea350e54ae938c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B81B5-1FDB-4456-9EB8-87B330220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8C84F-F1FB-4909-8B38-6EA0A5062E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39740-5BA7-477E-8CF7-FD03381C4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2699</Words>
  <Characters>15385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ASOO</cp:lastModifiedBy>
  <cp:revision>6</cp:revision>
  <dcterms:created xsi:type="dcterms:W3CDTF">2025-04-08T06:43:00Z</dcterms:created>
  <dcterms:modified xsi:type="dcterms:W3CDTF">2025-04-14T06:04:00Z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