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083D08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3D08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DB290D1" w14:textId="77777777" w:rsidR="00C316BB" w:rsidRDefault="00A74304" w:rsidP="00A74304">
      <w:pPr>
        <w:jc w:val="center"/>
        <w:rPr>
          <w:rFonts w:cstheme="minorHAnsi"/>
          <w:b/>
          <w:bCs/>
          <w:sz w:val="48"/>
          <w:szCs w:val="48"/>
        </w:rPr>
      </w:pPr>
      <w:bookmarkStart w:id="0" w:name="_Hlk92893303"/>
      <w:r w:rsidRPr="00A74304">
        <w:rPr>
          <w:rFonts w:cstheme="minorHAnsi"/>
          <w:b/>
          <w:bCs/>
          <w:sz w:val="48"/>
          <w:szCs w:val="48"/>
        </w:rPr>
        <w:t xml:space="preserve">Program </w:t>
      </w:r>
      <w:r w:rsidR="00460172" w:rsidRPr="00BE2F1E">
        <w:rPr>
          <w:rFonts w:cstheme="minorHAnsi"/>
          <w:b/>
          <w:bCs/>
          <w:sz w:val="48"/>
          <w:szCs w:val="48"/>
        </w:rPr>
        <w:t xml:space="preserve">obrazovanja </w:t>
      </w:r>
    </w:p>
    <w:p w14:paraId="3BD97392" w14:textId="47F19061" w:rsidR="00A74304" w:rsidRPr="00A74304" w:rsidRDefault="00A74304" w:rsidP="00A74304">
      <w:pPr>
        <w:jc w:val="center"/>
        <w:rPr>
          <w:rFonts w:cstheme="minorHAnsi"/>
          <w:b/>
          <w:bCs/>
          <w:sz w:val="48"/>
          <w:szCs w:val="48"/>
        </w:rPr>
      </w:pPr>
      <w:r w:rsidRPr="00BE2F1E">
        <w:rPr>
          <w:rFonts w:cstheme="minorHAnsi"/>
          <w:b/>
          <w:bCs/>
          <w:sz w:val="48"/>
          <w:szCs w:val="48"/>
        </w:rPr>
        <w:t>z</w:t>
      </w:r>
      <w:r w:rsidRPr="00A74304">
        <w:rPr>
          <w:rFonts w:cstheme="minorHAnsi"/>
          <w:b/>
          <w:bCs/>
          <w:sz w:val="48"/>
          <w:szCs w:val="48"/>
        </w:rPr>
        <w:t xml:space="preserve">a stjecanje </w:t>
      </w:r>
      <w:r w:rsidR="0018375F">
        <w:rPr>
          <w:rFonts w:cstheme="minorHAnsi"/>
          <w:b/>
          <w:bCs/>
          <w:sz w:val="48"/>
          <w:szCs w:val="48"/>
        </w:rPr>
        <w:t>mikrokvalifikacije</w:t>
      </w:r>
      <w:r w:rsidRPr="00A74304">
        <w:rPr>
          <w:rFonts w:cstheme="minorHAnsi"/>
          <w:b/>
          <w:bCs/>
          <w:sz w:val="48"/>
          <w:szCs w:val="48"/>
        </w:rPr>
        <w:t xml:space="preserve"> </w:t>
      </w:r>
      <w:r w:rsidR="0001213F">
        <w:rPr>
          <w:rFonts w:cstheme="minorHAnsi"/>
          <w:b/>
          <w:bCs/>
          <w:sz w:val="48"/>
          <w:szCs w:val="48"/>
        </w:rPr>
        <w:t>izrada i analiza temeljnih financijskih izvještaja</w:t>
      </w:r>
    </w:p>
    <w:p w14:paraId="20337DF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274ED22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BA2139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1994287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F99FF13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1DB4110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35BCF63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242FFB3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5FC5E06C" w14:textId="77777777" w:rsidR="00A74304" w:rsidRPr="00A74304" w:rsidRDefault="00A74304" w:rsidP="00A74304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748BED5F" w14:textId="4A8C4AB5" w:rsidR="00A74304" w:rsidRDefault="00423B20" w:rsidP="00A74304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Mjesto, datum</w:t>
      </w:r>
    </w:p>
    <w:p w14:paraId="19D26B95" w14:textId="4C503116" w:rsidR="00C759FB" w:rsidRPr="00812BC6" w:rsidRDefault="00812BC6" w:rsidP="00F4624B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812BC6">
        <w:rPr>
          <w:rFonts w:cstheme="minorHAnsi"/>
          <w:b/>
          <w:bCs/>
          <w:noProof/>
          <w:sz w:val="24"/>
          <w:szCs w:val="24"/>
        </w:rPr>
        <w:br w:type="page"/>
      </w:r>
      <w:r w:rsidR="00C759FB" w:rsidRPr="00812BC6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38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46"/>
        <w:gridCol w:w="2423"/>
        <w:gridCol w:w="2630"/>
        <w:gridCol w:w="6"/>
      </w:tblGrid>
      <w:tr w:rsidR="00C759FB" w:rsidRPr="00F919E2" w14:paraId="69B33573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3875EACD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B5CCAB4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 STJECANJE </w:t>
            </w:r>
            <w:r w:rsidR="00BA1E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MIKROKVALIFIKACIJE</w:t>
            </w:r>
          </w:p>
        </w:tc>
      </w:tr>
      <w:tr w:rsidR="00A74304" w:rsidRPr="00F919E2" w14:paraId="39C58608" w14:textId="77777777" w:rsidTr="001D325C">
        <w:trPr>
          <w:trHeight w:val="304"/>
        </w:trPr>
        <w:tc>
          <w:tcPr>
            <w:tcW w:w="1529" w:type="pct"/>
            <w:shd w:val="clear" w:color="auto" w:fill="B8CCE4"/>
            <w:hideMark/>
          </w:tcPr>
          <w:p w14:paraId="1B165FFC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3E339C7A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471" w:type="pct"/>
            <w:gridSpan w:val="4"/>
          </w:tcPr>
          <w:p w14:paraId="2694E943" w14:textId="5619AF0B" w:rsidR="00A74304" w:rsidRPr="00C17310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Ekonomija i trgovina</w:t>
            </w:r>
            <w:r w:rsidR="003A057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A74304" w:rsidRPr="00F919E2" w14:paraId="7899B0FB" w14:textId="77777777" w:rsidTr="001D325C">
        <w:trPr>
          <w:trHeight w:val="314"/>
        </w:trPr>
        <w:tc>
          <w:tcPr>
            <w:tcW w:w="1529" w:type="pct"/>
            <w:shd w:val="clear" w:color="auto" w:fill="B8CCE4"/>
            <w:hideMark/>
          </w:tcPr>
          <w:p w14:paraId="69B3C0D0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71" w:type="pct"/>
            <w:gridSpan w:val="4"/>
            <w:vAlign w:val="center"/>
          </w:tcPr>
          <w:p w14:paraId="2FF8D896" w14:textId="6B128028" w:rsidR="00A74304" w:rsidRPr="00F919E2" w:rsidRDefault="0018375F" w:rsidP="004B797F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AB8C9AD">
              <w:rPr>
                <w:rFonts w:cstheme="minorBidi"/>
                <w:sz w:val="20"/>
                <w:szCs w:val="20"/>
              </w:rPr>
              <w:t xml:space="preserve">Program obrazovanja za stjecanje </w:t>
            </w:r>
            <w:r>
              <w:rPr>
                <w:rFonts w:cstheme="minorBidi"/>
                <w:sz w:val="20"/>
                <w:szCs w:val="20"/>
              </w:rPr>
              <w:t>mikrokvalifikacije</w:t>
            </w:r>
            <w:r w:rsidR="00AD79AE" w:rsidRPr="00AD79AE">
              <w:rPr>
                <w:rFonts w:cstheme="minorBidi"/>
                <w:sz w:val="20"/>
                <w:szCs w:val="20"/>
              </w:rPr>
              <w:t xml:space="preserve"> izrada i analiza temeljnih financijskih izvještaja</w:t>
            </w:r>
          </w:p>
        </w:tc>
      </w:tr>
      <w:tr w:rsidR="00A74304" w:rsidRPr="00F919E2" w14:paraId="0B142720" w14:textId="77777777" w:rsidTr="001D325C">
        <w:trPr>
          <w:trHeight w:val="304"/>
        </w:trPr>
        <w:tc>
          <w:tcPr>
            <w:tcW w:w="1529" w:type="pct"/>
            <w:shd w:val="clear" w:color="auto" w:fill="B8CCE4"/>
            <w:hideMark/>
          </w:tcPr>
          <w:p w14:paraId="3B2779C1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71" w:type="pct"/>
            <w:gridSpan w:val="4"/>
            <w:vAlign w:val="center"/>
          </w:tcPr>
          <w:p w14:paraId="7476C298" w14:textId="340B6574" w:rsidR="00A74304" w:rsidRPr="00F919E2" w:rsidRDefault="00122E83" w:rsidP="00A7430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usavršavanje</w:t>
            </w:r>
          </w:p>
        </w:tc>
      </w:tr>
      <w:tr w:rsidR="00C759FB" w:rsidRPr="00F919E2" w14:paraId="3F28E15A" w14:textId="77777777" w:rsidTr="001D325C">
        <w:trPr>
          <w:trHeight w:val="329"/>
        </w:trPr>
        <w:tc>
          <w:tcPr>
            <w:tcW w:w="152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1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20" w:type="pct"/>
            <w:gridSpan w:val="3"/>
            <w:vAlign w:val="center"/>
          </w:tcPr>
          <w:p w14:paraId="5710EB8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1D325C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1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20" w:type="pct"/>
            <w:gridSpan w:val="3"/>
            <w:vAlign w:val="center"/>
          </w:tcPr>
          <w:p w14:paraId="1A4BC742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1D325C">
        <w:trPr>
          <w:trHeight w:val="827"/>
        </w:trPr>
        <w:tc>
          <w:tcPr>
            <w:tcW w:w="1529" w:type="pct"/>
            <w:shd w:val="clear" w:color="auto" w:fill="B8CCE4"/>
            <w:hideMark/>
          </w:tcPr>
          <w:p w14:paraId="6021170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471" w:type="pct"/>
            <w:gridSpan w:val="4"/>
            <w:vAlign w:val="center"/>
            <w:hideMark/>
          </w:tcPr>
          <w:p w14:paraId="33E48B8B" w14:textId="2335C0A3" w:rsidR="00A74304" w:rsidRPr="00211993" w:rsidRDefault="00A74304" w:rsidP="00A560A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1: </w:t>
            </w:r>
            <w:r w:rsidR="0009130E" w:rsidRPr="0009130E">
              <w:rPr>
                <w:rFonts w:cstheme="minorHAnsi"/>
                <w:sz w:val="20"/>
                <w:szCs w:val="20"/>
              </w:rPr>
              <w:t>Pripremanje podataka za sastavljanje godišnjih</w:t>
            </w:r>
            <w:r w:rsidR="0009130E">
              <w:rPr>
                <w:rFonts w:cstheme="minorHAnsi"/>
                <w:sz w:val="20"/>
                <w:szCs w:val="20"/>
              </w:rPr>
              <w:t xml:space="preserve"> </w:t>
            </w:r>
            <w:r w:rsidR="0009130E" w:rsidRPr="0009130E">
              <w:rPr>
                <w:rFonts w:cstheme="minorHAnsi"/>
                <w:sz w:val="20"/>
                <w:szCs w:val="20"/>
              </w:rPr>
              <w:t xml:space="preserve">financijskih izvještaja </w:t>
            </w:r>
            <w:r w:rsidRPr="00211993">
              <w:rPr>
                <w:rFonts w:cstheme="minorHAnsi"/>
                <w:sz w:val="20"/>
                <w:szCs w:val="20"/>
              </w:rPr>
              <w:t>(razina 4)</w:t>
            </w:r>
          </w:p>
          <w:p w14:paraId="61CA1E59" w14:textId="19DD6CF1" w:rsidR="00A74304" w:rsidRPr="00211993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2: </w:t>
            </w:r>
            <w:r w:rsidR="0009130E" w:rsidRPr="0009130E">
              <w:rPr>
                <w:rFonts w:cstheme="minorHAnsi"/>
                <w:sz w:val="20"/>
                <w:szCs w:val="20"/>
              </w:rPr>
              <w:t xml:space="preserve">Sastavljanje godišnjih financijskih izvještaja </w:t>
            </w:r>
            <w:r w:rsidRPr="00211993">
              <w:rPr>
                <w:rFonts w:cstheme="minorHAnsi"/>
                <w:sz w:val="20"/>
                <w:szCs w:val="20"/>
              </w:rPr>
              <w:t>(razina 4)</w:t>
            </w:r>
          </w:p>
          <w:p w14:paraId="6B651854" w14:textId="267EABBB" w:rsidR="0084451C" w:rsidRPr="0009130E" w:rsidRDefault="00A74304" w:rsidP="00A7430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SIU 3: </w:t>
            </w:r>
            <w:r w:rsidR="0009130E">
              <w:rPr>
                <w:rFonts w:cstheme="minorHAnsi"/>
                <w:sz w:val="20"/>
                <w:szCs w:val="20"/>
              </w:rPr>
              <w:t>Temeljni financijski izvještaji</w:t>
            </w:r>
            <w:r w:rsidRPr="00211993">
              <w:rPr>
                <w:rFonts w:cstheme="minorHAnsi"/>
                <w:sz w:val="20"/>
                <w:szCs w:val="20"/>
              </w:rPr>
              <w:t xml:space="preserve"> (razina 4)</w:t>
            </w:r>
          </w:p>
        </w:tc>
      </w:tr>
      <w:tr w:rsidR="00C759FB" w:rsidRPr="00F919E2" w14:paraId="1AC156F2" w14:textId="77777777" w:rsidTr="001D325C">
        <w:trPr>
          <w:trHeight w:val="539"/>
        </w:trPr>
        <w:tc>
          <w:tcPr>
            <w:tcW w:w="1529" w:type="pct"/>
            <w:shd w:val="clear" w:color="auto" w:fill="B8CCE4"/>
            <w:hideMark/>
          </w:tcPr>
          <w:p w14:paraId="195D4239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71" w:type="pct"/>
            <w:gridSpan w:val="4"/>
            <w:vAlign w:val="center"/>
          </w:tcPr>
          <w:p w14:paraId="7481C18E" w14:textId="59A62812" w:rsidR="00A74304" w:rsidRPr="00211993" w:rsidRDefault="00CD1EC9" w:rsidP="00A74304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A74304" w:rsidRPr="00211993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4A3910F7" w14:textId="306B9E04" w:rsidR="0009130E" w:rsidRPr="0009130E" w:rsidRDefault="0009130E" w:rsidP="00A560A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9130E">
              <w:rPr>
                <w:rFonts w:cstheme="minorHAnsi"/>
                <w:sz w:val="20"/>
                <w:szCs w:val="20"/>
              </w:rPr>
              <w:t>SIU 1: Pripremanje podataka za sastavljanje godišnjih financijskih izvještaja (</w:t>
            </w:r>
            <w:r>
              <w:rPr>
                <w:rFonts w:cstheme="minorHAnsi"/>
                <w:sz w:val="20"/>
                <w:szCs w:val="20"/>
              </w:rPr>
              <w:t>3 CSVET</w:t>
            </w:r>
            <w:r w:rsidRPr="0009130E">
              <w:rPr>
                <w:rFonts w:cstheme="minorHAnsi"/>
                <w:sz w:val="20"/>
                <w:szCs w:val="20"/>
              </w:rPr>
              <w:t>)</w:t>
            </w:r>
          </w:p>
          <w:p w14:paraId="0A4CB691" w14:textId="01F0B74F" w:rsidR="0009130E" w:rsidRPr="0009130E" w:rsidRDefault="0009130E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09130E">
              <w:rPr>
                <w:rFonts w:cstheme="minorHAnsi"/>
                <w:sz w:val="20"/>
                <w:szCs w:val="20"/>
              </w:rPr>
              <w:t>SIU 2: Sastavljanje godišnjih financijskih izvještaja (</w:t>
            </w:r>
            <w:r>
              <w:rPr>
                <w:rFonts w:cstheme="minorHAnsi"/>
                <w:sz w:val="20"/>
                <w:szCs w:val="20"/>
              </w:rPr>
              <w:t>2 CSVET</w:t>
            </w:r>
            <w:r w:rsidRPr="0009130E">
              <w:rPr>
                <w:rFonts w:cstheme="minorHAnsi"/>
                <w:sz w:val="20"/>
                <w:szCs w:val="20"/>
              </w:rPr>
              <w:t>)</w:t>
            </w:r>
          </w:p>
          <w:p w14:paraId="29C236E9" w14:textId="28C586B2" w:rsidR="00E61EBC" w:rsidRPr="00CD1EC9" w:rsidRDefault="0009130E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09130E">
              <w:rPr>
                <w:rFonts w:cstheme="minorHAnsi"/>
                <w:sz w:val="20"/>
                <w:szCs w:val="20"/>
              </w:rPr>
              <w:t>SIU 3: Temeljni financijski izvještaji (</w:t>
            </w:r>
            <w:r>
              <w:rPr>
                <w:rFonts w:cstheme="minorHAnsi"/>
                <w:sz w:val="20"/>
                <w:szCs w:val="20"/>
              </w:rPr>
              <w:t>2 CSVET</w:t>
            </w:r>
            <w:r w:rsidRPr="0009130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759FB" w:rsidRPr="00F919E2" w14:paraId="2D88B913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063154A4" w14:textId="48EA8D19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1D325C">
        <w:trPr>
          <w:trHeight w:val="951"/>
        </w:trPr>
        <w:tc>
          <w:tcPr>
            <w:tcW w:w="1529" w:type="pct"/>
            <w:shd w:val="clear" w:color="auto" w:fill="B8CCE4"/>
            <w:hideMark/>
          </w:tcPr>
          <w:p w14:paraId="7130C8CB" w14:textId="07A23808" w:rsidR="00C759FB" w:rsidRPr="00F919E2" w:rsidRDefault="009422B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422B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2056" w:type="pct"/>
            <w:gridSpan w:val="2"/>
            <w:shd w:val="clear" w:color="auto" w:fill="B8CCE4"/>
            <w:hideMark/>
          </w:tcPr>
          <w:p w14:paraId="057AF24A" w14:textId="59BB07B5" w:rsidR="00C759FB" w:rsidRPr="00F919E2" w:rsidRDefault="00723C62" w:rsidP="00723C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C6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kvalifikacija/skupova ishoda učenja</w:t>
            </w:r>
          </w:p>
        </w:tc>
        <w:tc>
          <w:tcPr>
            <w:tcW w:w="1414" w:type="pct"/>
            <w:gridSpan w:val="2"/>
            <w:shd w:val="clear" w:color="auto" w:fill="B8CCE4"/>
            <w:hideMark/>
          </w:tcPr>
          <w:p w14:paraId="58ADAE83" w14:textId="40F2B500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</w:t>
            </w:r>
          </w:p>
        </w:tc>
      </w:tr>
      <w:tr w:rsidR="00A74304" w:rsidRPr="00F919E2" w14:paraId="575AACF6" w14:textId="77777777" w:rsidTr="00A3461E">
        <w:trPr>
          <w:trHeight w:val="490"/>
        </w:trPr>
        <w:tc>
          <w:tcPr>
            <w:tcW w:w="1529" w:type="pct"/>
            <w:vAlign w:val="center"/>
          </w:tcPr>
          <w:p w14:paraId="7A2D85E3" w14:textId="4183CBD3" w:rsidR="005C37E9" w:rsidRPr="00810AD5" w:rsidRDefault="005C37E9" w:rsidP="00742C2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2B93">
              <w:rPr>
                <w:rFonts w:cstheme="minorHAnsi"/>
                <w:b/>
                <w:bCs/>
                <w:sz w:val="20"/>
                <w:szCs w:val="20"/>
              </w:rPr>
              <w:t>SZ Ekonomski referent</w:t>
            </w:r>
            <w:r w:rsidR="00B307C6" w:rsidRPr="00C22B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22B93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B307C6" w:rsidRPr="00C22B93">
              <w:rPr>
                <w:rFonts w:cstheme="minorHAnsi"/>
                <w:b/>
                <w:bCs/>
                <w:sz w:val="20"/>
                <w:szCs w:val="20"/>
              </w:rPr>
              <w:t xml:space="preserve"> E</w:t>
            </w:r>
            <w:r w:rsidRPr="00C22B93">
              <w:rPr>
                <w:rFonts w:cstheme="minorHAnsi"/>
                <w:b/>
                <w:bCs/>
                <w:sz w:val="20"/>
                <w:szCs w:val="20"/>
              </w:rPr>
              <w:t xml:space="preserve">konomska </w:t>
            </w:r>
            <w:r w:rsidRPr="00810AD5">
              <w:rPr>
                <w:rFonts w:cstheme="minorHAnsi"/>
                <w:b/>
                <w:bCs/>
                <w:sz w:val="20"/>
                <w:szCs w:val="20"/>
              </w:rPr>
              <w:t>referentica</w:t>
            </w:r>
          </w:p>
          <w:p w14:paraId="0FE78185" w14:textId="77777777" w:rsidR="00F57597" w:rsidRPr="00810AD5" w:rsidRDefault="00F57597" w:rsidP="00F5759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810AD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https://hko.srce.hr/registar/standard-zanimanja/detalji/49</w:t>
              </w:r>
            </w:hyperlink>
          </w:p>
          <w:p w14:paraId="782F3251" w14:textId="77777777" w:rsidR="0092486D" w:rsidRPr="00810AD5" w:rsidRDefault="0092486D" w:rsidP="00742C26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EE760A" w14:textId="3458C65B" w:rsidR="00742C26" w:rsidRPr="00810AD5" w:rsidRDefault="00742C26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0AD5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="00F647C4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Pr="00810AD5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810AD5">
              <w:rPr>
                <w:rFonts w:cstheme="minorHAnsi"/>
                <w:sz w:val="20"/>
                <w:szCs w:val="20"/>
              </w:rPr>
              <w:t xml:space="preserve"> </w:t>
            </w:r>
            <w:r w:rsidR="005C37E9" w:rsidRPr="00810AD5">
              <w:rPr>
                <w:rFonts w:cstheme="minorHAnsi"/>
                <w:sz w:val="20"/>
                <w:szCs w:val="20"/>
              </w:rPr>
              <w:t xml:space="preserve">Primjena informacijsko-komunikacijskih tehnologija u poslovanju malih i srednjih poduzeća </w:t>
            </w:r>
            <w:hyperlink r:id="rId12" w:history="1">
              <w:r w:rsidR="005C37E9" w:rsidRPr="00810AD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https://hko.srce.hr/registar/skup-kompetencija/detalji/413</w:t>
              </w:r>
            </w:hyperlink>
            <w:r w:rsidR="005C37E9" w:rsidRPr="00810AD5">
              <w:rPr>
                <w:sz w:val="20"/>
                <w:szCs w:val="20"/>
              </w:rPr>
              <w:t xml:space="preserve"> </w:t>
            </w:r>
          </w:p>
          <w:p w14:paraId="6533507F" w14:textId="6B24481E" w:rsidR="00742C26" w:rsidRPr="00810AD5" w:rsidRDefault="005C37E9" w:rsidP="00742C2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0AD5">
              <w:rPr>
                <w:sz w:val="20"/>
                <w:szCs w:val="20"/>
              </w:rPr>
              <w:t xml:space="preserve"> </w:t>
            </w:r>
          </w:p>
          <w:p w14:paraId="7CA4036E" w14:textId="3D8868B7" w:rsidR="00742C26" w:rsidRPr="00810AD5" w:rsidRDefault="00742C26" w:rsidP="00742C26">
            <w:pPr>
              <w:spacing w:before="60" w:after="60" w:line="240" w:lineRule="auto"/>
              <w:rPr>
                <w:sz w:val="20"/>
                <w:szCs w:val="20"/>
              </w:rPr>
            </w:pPr>
            <w:r w:rsidRPr="00810AD5">
              <w:rPr>
                <w:b/>
                <w:bCs/>
                <w:sz w:val="20"/>
                <w:szCs w:val="20"/>
              </w:rPr>
              <w:t>SKOMP</w:t>
            </w:r>
            <w:r w:rsidR="00F647C4">
              <w:rPr>
                <w:b/>
                <w:bCs/>
                <w:sz w:val="20"/>
                <w:szCs w:val="20"/>
              </w:rPr>
              <w:t xml:space="preserve"> 2</w:t>
            </w:r>
            <w:r w:rsidRPr="00810AD5">
              <w:rPr>
                <w:b/>
                <w:bCs/>
                <w:sz w:val="20"/>
                <w:szCs w:val="20"/>
              </w:rPr>
              <w:t>:</w:t>
            </w:r>
            <w:r w:rsidRPr="00810AD5">
              <w:rPr>
                <w:sz w:val="20"/>
                <w:szCs w:val="20"/>
              </w:rPr>
              <w:t xml:space="preserve"> </w:t>
            </w:r>
            <w:r w:rsidR="005C37E9" w:rsidRPr="00810AD5">
              <w:rPr>
                <w:sz w:val="20"/>
                <w:szCs w:val="20"/>
              </w:rPr>
              <w:t>Praćenje i evidentiranje financijskih dokumenata u poslovanju malih i srednjih poduzeća</w:t>
            </w:r>
          </w:p>
          <w:p w14:paraId="5B86D220" w14:textId="7428C4D6" w:rsidR="005C37E9" w:rsidRPr="00C22B93" w:rsidRDefault="005C37E9" w:rsidP="00742C2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810AD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https://hko.srce.hr/registar/skup-kompetencija/detalji/415</w:t>
              </w:r>
            </w:hyperlink>
            <w:r w:rsidRPr="00C22B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0D3195" w14:textId="3EFBA450" w:rsidR="00C5588D" w:rsidRPr="00C22B93" w:rsidRDefault="00C5588D" w:rsidP="00742C26">
            <w:pPr>
              <w:spacing w:before="6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  <w:tc>
          <w:tcPr>
            <w:tcW w:w="2056" w:type="pct"/>
            <w:gridSpan w:val="2"/>
          </w:tcPr>
          <w:p w14:paraId="202B45C6" w14:textId="16E91354" w:rsidR="004B7B20" w:rsidRPr="00C22B93" w:rsidRDefault="004B7B20" w:rsidP="002A3C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B03401" w14:textId="77777777" w:rsidR="007579B4" w:rsidRPr="00C22B93" w:rsidRDefault="007579B4" w:rsidP="007579B4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</w:pPr>
            <w:bookmarkStart w:id="1" w:name="_Hlk189554771"/>
          </w:p>
          <w:p w14:paraId="4796F798" w14:textId="73EBA31A" w:rsidR="00835320" w:rsidRPr="00C22B93" w:rsidRDefault="00835320" w:rsidP="007579B4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</w:pPr>
            <w:r w:rsidRPr="00C22B9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SIU</w:t>
            </w:r>
            <w:r w:rsidR="007704DE" w:rsidRPr="00C22B9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Pr="00C22B9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1:</w:t>
            </w:r>
            <w:r w:rsidRPr="00C22B93"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 xml:space="preserve"> Pripremanje podataka za sastavljanje godišnjih financijskih izvještaja</w:t>
            </w:r>
          </w:p>
          <w:p w14:paraId="4613C67E" w14:textId="2C0E48DC" w:rsidR="0070631F" w:rsidRPr="00C22B93" w:rsidRDefault="00421921" w:rsidP="00706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C22B9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https://hko.srce.hr/registar/skup-ishoda-ucenja/detalji/12412</w:t>
              </w:r>
            </w:hyperlink>
            <w:r w:rsidRPr="00C22B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B9B00B" w14:textId="77777777" w:rsidR="002C14AB" w:rsidRPr="00C22B93" w:rsidRDefault="002C14AB" w:rsidP="00706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A24C067" w14:textId="10522845" w:rsidR="002C14AB" w:rsidRPr="00C22B93" w:rsidRDefault="00DB11F8" w:rsidP="007579B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22B93">
              <w:rPr>
                <w:rFonts w:cstheme="minorHAnsi"/>
                <w:b/>
                <w:bCs/>
                <w:sz w:val="20"/>
                <w:szCs w:val="20"/>
              </w:rPr>
              <w:t>SIU 2:</w:t>
            </w:r>
            <w:r w:rsidRPr="00C22B93">
              <w:rPr>
                <w:rFonts w:cstheme="minorHAnsi"/>
                <w:sz w:val="20"/>
                <w:szCs w:val="20"/>
              </w:rPr>
              <w:t xml:space="preserve"> </w:t>
            </w:r>
            <w:r w:rsidR="001D2486" w:rsidRPr="00C22B93">
              <w:rPr>
                <w:rFonts w:cstheme="minorHAnsi"/>
                <w:sz w:val="20"/>
                <w:szCs w:val="20"/>
              </w:rPr>
              <w:t>Sastavljanje godišnjih financijskih izvještaja</w:t>
            </w:r>
          </w:p>
          <w:p w14:paraId="2E76AC20" w14:textId="77777777" w:rsidR="00166B7D" w:rsidRPr="00C22B93" w:rsidRDefault="00166B7D" w:rsidP="007579B4">
            <w:pPr>
              <w:pStyle w:val="Heading3"/>
              <w:shd w:val="clear" w:color="auto" w:fill="FFFFFF"/>
              <w:spacing w:before="0" w:beforeAutospacing="0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bs-Latn-BA" w:eastAsia="bs-Latn-BA"/>
              </w:rPr>
            </w:pPr>
            <w:hyperlink r:id="rId15" w:history="1">
              <w:r w:rsidRPr="00C22B93">
                <w:rPr>
                  <w:rStyle w:val="Hyperlink"/>
                  <w:rFonts w:asciiTheme="minorHAnsi" w:eastAsia="Calibri" w:hAnsiTheme="minorHAnsi" w:cstheme="minorHAnsi"/>
                  <w:b w:val="0"/>
                  <w:bCs w:val="0"/>
                  <w:sz w:val="20"/>
                  <w:szCs w:val="20"/>
                  <w:lang w:val="bs-Latn-BA" w:eastAsia="bs-Latn-BA"/>
                </w:rPr>
                <w:t>https://hko.srce.hr/registar/skup-ishoda-ucenja/detalji/12521</w:t>
              </w:r>
            </w:hyperlink>
            <w:r w:rsidRPr="00C22B93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bs-Latn-BA" w:eastAsia="bs-Latn-BA"/>
              </w:rPr>
              <w:t xml:space="preserve"> </w:t>
            </w:r>
          </w:p>
          <w:p w14:paraId="7FCD8D21" w14:textId="3530DC0D" w:rsidR="00C5696C" w:rsidRPr="00C22B93" w:rsidRDefault="00DB11F8" w:rsidP="007579B4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Source Sans Pro" w:hAnsi="Source Sans Pro"/>
                <w:b w:val="0"/>
                <w:bCs w:val="0"/>
                <w:color w:val="326991"/>
                <w:sz w:val="20"/>
                <w:szCs w:val="20"/>
              </w:rPr>
            </w:pPr>
            <w:r w:rsidRPr="00C22B9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 xml:space="preserve">SIU </w:t>
            </w:r>
            <w:r w:rsidRPr="00C22B93">
              <w:rPr>
                <w:rFonts w:cstheme="minorHAnsi"/>
                <w:sz w:val="20"/>
                <w:szCs w:val="20"/>
              </w:rPr>
              <w:t>3</w:t>
            </w:r>
            <w:r w:rsidRPr="00C22B93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:</w:t>
            </w:r>
            <w:r w:rsidR="00C5696C" w:rsidRPr="00C22B93">
              <w:rPr>
                <w:rFonts w:cstheme="minorHAnsi"/>
                <w:sz w:val="20"/>
                <w:szCs w:val="20"/>
              </w:rPr>
              <w:t xml:space="preserve"> </w:t>
            </w:r>
            <w:r w:rsidR="00C5696C" w:rsidRPr="00C22B93">
              <w:rPr>
                <w:rFonts w:ascii="Calibri" w:eastAsia="Calibri" w:hAnsi="Calibri" w:cstheme="minorHAnsi"/>
                <w:b w:val="0"/>
                <w:bCs w:val="0"/>
                <w:sz w:val="20"/>
                <w:szCs w:val="20"/>
                <w:lang w:val="bs-Latn-BA" w:eastAsia="bs-Latn-BA"/>
              </w:rPr>
              <w:t>Temeljni financijski izvještaji</w:t>
            </w:r>
          </w:p>
          <w:p w14:paraId="6005BC04" w14:textId="7A1090B5" w:rsidR="00520D8D" w:rsidRPr="00C22B93" w:rsidRDefault="00B1745A" w:rsidP="0009130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C22B9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https://hko.srce.hr/registar/skup-ishoda-ucenja/detalji/12417</w:t>
              </w:r>
            </w:hyperlink>
            <w:r w:rsidRPr="00C22B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bookmarkEnd w:id="1"/>
          <w:p w14:paraId="6C7EF104" w14:textId="77777777" w:rsidR="0090151D" w:rsidRPr="00C22B93" w:rsidRDefault="0090151D" w:rsidP="0009130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E33F32D" w14:textId="5625AC58" w:rsidR="00A74304" w:rsidRPr="00C22B93" w:rsidRDefault="00A74304" w:rsidP="0009130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14" w:type="pct"/>
            <w:gridSpan w:val="2"/>
            <w:vAlign w:val="center"/>
          </w:tcPr>
          <w:p w14:paraId="6A04DB37" w14:textId="3A169F1C" w:rsidR="00A74304" w:rsidRPr="00F919E2" w:rsidRDefault="00A3461E" w:rsidP="00A3461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A74304" w:rsidRPr="00F919E2" w14:paraId="42CE3E54" w14:textId="77777777" w:rsidTr="001D325C">
        <w:trPr>
          <w:trHeight w:val="291"/>
        </w:trPr>
        <w:tc>
          <w:tcPr>
            <w:tcW w:w="1529" w:type="pct"/>
            <w:shd w:val="clear" w:color="auto" w:fill="B8CCE4"/>
            <w:hideMark/>
          </w:tcPr>
          <w:p w14:paraId="4CAA4D5B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71" w:type="pct"/>
            <w:gridSpan w:val="4"/>
          </w:tcPr>
          <w:p w14:paraId="3C667CCB" w14:textId="3DB486F8" w:rsidR="00723C62" w:rsidRPr="00EB0936" w:rsidRDefault="00A74304" w:rsidP="00EB09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723C62">
              <w:rPr>
                <w:rFonts w:cstheme="minorHAnsi"/>
                <w:sz w:val="20"/>
                <w:szCs w:val="20"/>
              </w:rPr>
              <w:t xml:space="preserve">Cjelovita kvalifikacija </w:t>
            </w:r>
            <w:r w:rsidR="00CD72DB" w:rsidRPr="00723C62">
              <w:rPr>
                <w:rFonts w:cstheme="minorHAnsi"/>
                <w:sz w:val="20"/>
                <w:szCs w:val="20"/>
              </w:rPr>
              <w:t>najmanje</w:t>
            </w:r>
            <w:r w:rsidRPr="00723C62">
              <w:rPr>
                <w:rFonts w:cstheme="minorHAnsi"/>
                <w:sz w:val="20"/>
                <w:szCs w:val="20"/>
              </w:rPr>
              <w:t xml:space="preserve"> razin</w:t>
            </w:r>
            <w:r w:rsidR="005F64F0" w:rsidRPr="00723C62">
              <w:rPr>
                <w:rFonts w:cstheme="minorHAnsi"/>
                <w:sz w:val="20"/>
                <w:szCs w:val="20"/>
              </w:rPr>
              <w:t>e</w:t>
            </w:r>
            <w:r w:rsidRPr="00723C62">
              <w:rPr>
                <w:rFonts w:cstheme="minorHAnsi"/>
                <w:sz w:val="20"/>
                <w:szCs w:val="20"/>
              </w:rPr>
              <w:t xml:space="preserve"> 4.2</w:t>
            </w:r>
            <w:r w:rsidR="00A41D1C" w:rsidRPr="00723C62">
              <w:rPr>
                <w:rFonts w:cstheme="minorHAnsi"/>
                <w:sz w:val="20"/>
                <w:szCs w:val="20"/>
              </w:rPr>
              <w:t xml:space="preserve"> </w:t>
            </w:r>
            <w:r w:rsidR="009422B1" w:rsidRPr="00723C62">
              <w:rPr>
                <w:rFonts w:cstheme="minorHAnsi"/>
                <w:sz w:val="20"/>
                <w:szCs w:val="20"/>
              </w:rPr>
              <w:t xml:space="preserve">HKO </w:t>
            </w:r>
            <w:r w:rsidR="00A41D1C" w:rsidRPr="00723C62">
              <w:rPr>
                <w:rFonts w:cstheme="minorHAnsi"/>
                <w:sz w:val="20"/>
                <w:szCs w:val="20"/>
              </w:rPr>
              <w:t>sektor</w:t>
            </w:r>
            <w:r w:rsidR="007A7365" w:rsidRPr="00723C62">
              <w:rPr>
                <w:rFonts w:cstheme="minorHAnsi"/>
                <w:sz w:val="20"/>
                <w:szCs w:val="20"/>
              </w:rPr>
              <w:t>a</w:t>
            </w:r>
            <w:r w:rsidR="00A41D1C" w:rsidRPr="00723C62">
              <w:rPr>
                <w:rFonts w:cstheme="minorHAnsi"/>
                <w:sz w:val="20"/>
                <w:szCs w:val="20"/>
              </w:rPr>
              <w:t xml:space="preserve"> ekonomija</w:t>
            </w:r>
            <w:r w:rsidR="00CC6D95" w:rsidRPr="00723C62">
              <w:rPr>
                <w:rFonts w:cstheme="minorHAnsi"/>
                <w:sz w:val="20"/>
                <w:szCs w:val="20"/>
              </w:rPr>
              <w:t xml:space="preserve"> i trgovina</w:t>
            </w:r>
            <w:r w:rsidR="00B307C6" w:rsidRPr="00723C62">
              <w:rPr>
                <w:rFonts w:cstheme="minorHAnsi"/>
                <w:sz w:val="20"/>
                <w:szCs w:val="20"/>
              </w:rPr>
              <w:t xml:space="preserve"> </w:t>
            </w:r>
            <w:r w:rsidR="00AD6B6B" w:rsidRPr="00723C62">
              <w:rPr>
                <w:rFonts w:cstheme="minorHAnsi"/>
                <w:sz w:val="20"/>
                <w:szCs w:val="20"/>
              </w:rPr>
              <w:t>ili završen</w:t>
            </w:r>
            <w:r w:rsidR="00B307C6" w:rsidRPr="00723C62">
              <w:rPr>
                <w:rFonts w:cstheme="minorHAnsi"/>
                <w:sz w:val="20"/>
                <w:szCs w:val="20"/>
              </w:rPr>
              <w:t xml:space="preserve"> program obrazovanja za stjecanje </w:t>
            </w:r>
            <w:r w:rsidR="00014D66" w:rsidRPr="00723C62">
              <w:rPr>
                <w:rFonts w:cstheme="minorHAnsi"/>
                <w:sz w:val="20"/>
                <w:szCs w:val="20"/>
              </w:rPr>
              <w:t>djelomične kvalifikacije</w:t>
            </w:r>
            <w:r w:rsidR="00B307C6" w:rsidRPr="00723C62">
              <w:rPr>
                <w:rFonts w:cstheme="minorHAnsi"/>
                <w:sz w:val="20"/>
                <w:szCs w:val="20"/>
              </w:rPr>
              <w:t xml:space="preserve"> </w:t>
            </w:r>
            <w:r w:rsidR="00014D66" w:rsidRPr="00723C62">
              <w:rPr>
                <w:rFonts w:cstheme="minorHAnsi"/>
                <w:sz w:val="20"/>
                <w:szCs w:val="20"/>
              </w:rPr>
              <w:t>knjigovođa</w:t>
            </w:r>
            <w:r w:rsidR="00B307C6" w:rsidRPr="00723C62">
              <w:rPr>
                <w:rFonts w:cstheme="minorHAnsi"/>
                <w:sz w:val="20"/>
                <w:szCs w:val="20"/>
              </w:rPr>
              <w:t xml:space="preserve"> </w:t>
            </w:r>
            <w:r w:rsidR="00014D66" w:rsidRPr="00723C62">
              <w:rPr>
                <w:rFonts w:cstheme="minorHAnsi"/>
                <w:sz w:val="20"/>
                <w:szCs w:val="20"/>
              </w:rPr>
              <w:t>/</w:t>
            </w:r>
            <w:r w:rsidR="00B307C6" w:rsidRPr="00723C62">
              <w:rPr>
                <w:rFonts w:cstheme="minorHAnsi"/>
                <w:sz w:val="20"/>
                <w:szCs w:val="20"/>
              </w:rPr>
              <w:t xml:space="preserve"> </w:t>
            </w:r>
            <w:r w:rsidR="00014D66" w:rsidRPr="00723C62">
              <w:rPr>
                <w:rFonts w:cstheme="minorHAnsi"/>
                <w:sz w:val="20"/>
                <w:szCs w:val="20"/>
              </w:rPr>
              <w:t>knjigovotkinja</w:t>
            </w:r>
            <w:r w:rsidR="00371854" w:rsidRPr="00723C62">
              <w:rPr>
                <w:rFonts w:cstheme="minorHAnsi"/>
                <w:sz w:val="20"/>
                <w:szCs w:val="20"/>
              </w:rPr>
              <w:t xml:space="preserve"> ili završen program obrazovanja iz područja knjigovodstva</w:t>
            </w:r>
            <w:r w:rsidR="008A340F" w:rsidRPr="00723C6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74304" w:rsidRPr="00F919E2" w14:paraId="4AF77F6B" w14:textId="77777777" w:rsidTr="001D325C">
        <w:trPr>
          <w:trHeight w:val="732"/>
        </w:trPr>
        <w:tc>
          <w:tcPr>
            <w:tcW w:w="1529" w:type="pct"/>
            <w:shd w:val="clear" w:color="auto" w:fill="B8CCE4"/>
            <w:hideMark/>
          </w:tcPr>
          <w:p w14:paraId="7D39FA66" w14:textId="07BA6BF1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71" w:type="pct"/>
            <w:gridSpan w:val="4"/>
          </w:tcPr>
          <w:p w14:paraId="29B59D5E" w14:textId="3B979A25" w:rsidR="00A74304" w:rsidRPr="00211993" w:rsidRDefault="00A74304" w:rsidP="00F4624B">
            <w:pPr>
              <w:pStyle w:val="ListParagraph"/>
              <w:numPr>
                <w:ilvl w:val="0"/>
                <w:numId w:val="1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Stečenih </w:t>
            </w:r>
            <w:r w:rsidR="00166B7D">
              <w:rPr>
                <w:rFonts w:cstheme="minorHAnsi"/>
                <w:sz w:val="20"/>
                <w:szCs w:val="20"/>
              </w:rPr>
              <w:t>7</w:t>
            </w:r>
            <w:r w:rsidR="004F5AD0">
              <w:t xml:space="preserve"> </w:t>
            </w:r>
            <w:r w:rsidRPr="00211993">
              <w:rPr>
                <w:rFonts w:cstheme="minorHAnsi"/>
                <w:sz w:val="20"/>
                <w:szCs w:val="20"/>
              </w:rPr>
              <w:t>CSVET</w:t>
            </w:r>
            <w:r w:rsidR="00C25A16">
              <w:rPr>
                <w:rFonts w:cstheme="minorHAnsi"/>
                <w:sz w:val="20"/>
                <w:szCs w:val="20"/>
              </w:rPr>
              <w:t>.</w:t>
            </w:r>
          </w:p>
          <w:p w14:paraId="7A4A3ED8" w14:textId="77777777" w:rsidR="002F6650" w:rsidRPr="002F6650" w:rsidRDefault="00A74304" w:rsidP="00D179F0">
            <w:pPr>
              <w:pStyle w:val="ListParagraph"/>
              <w:numPr>
                <w:ilvl w:val="0"/>
                <w:numId w:val="1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F6650">
              <w:rPr>
                <w:rFonts w:cstheme="minorHAnsi"/>
                <w:sz w:val="20"/>
                <w:szCs w:val="20"/>
              </w:rPr>
              <w:t>Uspješna završna provjera stečenih znanja</w:t>
            </w:r>
            <w:r w:rsidR="00DF7C27" w:rsidRPr="002F6650">
              <w:rPr>
                <w:rFonts w:cstheme="minorHAnsi"/>
                <w:sz w:val="20"/>
                <w:szCs w:val="20"/>
              </w:rPr>
              <w:t xml:space="preserve"> </w:t>
            </w:r>
            <w:r w:rsidR="005B30DE" w:rsidRPr="002F6650">
              <w:rPr>
                <w:rFonts w:cstheme="minorHAnsi"/>
                <w:sz w:val="20"/>
                <w:szCs w:val="20"/>
              </w:rPr>
              <w:t>(</w:t>
            </w:r>
            <w:r w:rsidR="00DF7C27" w:rsidRPr="002F6650">
              <w:rPr>
                <w:rFonts w:cstheme="minorHAnsi"/>
                <w:sz w:val="20"/>
                <w:szCs w:val="20"/>
              </w:rPr>
              <w:t>usmenim i/ili pisanim provjerama</w:t>
            </w:r>
            <w:r w:rsidR="005B30DE" w:rsidRPr="002F6650">
              <w:rPr>
                <w:rFonts w:cstheme="minorHAnsi"/>
                <w:sz w:val="20"/>
                <w:szCs w:val="20"/>
              </w:rPr>
              <w:t xml:space="preserve">) </w:t>
            </w:r>
            <w:r w:rsidR="00DF7C27" w:rsidRPr="002F6650">
              <w:rPr>
                <w:rFonts w:cstheme="minorHAnsi"/>
                <w:sz w:val="20"/>
                <w:szCs w:val="20"/>
              </w:rPr>
              <w:t xml:space="preserve">i </w:t>
            </w:r>
            <w:r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</w:t>
            </w:r>
            <w:r w:rsidR="00BD4D49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te odgovornosti </w:t>
            </w:r>
            <w:r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polaznika </w:t>
            </w:r>
            <w:r w:rsidR="0092486D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prilikom izrade i analize temeljnih financijskih izvještaja kroz</w:t>
            </w:r>
            <w:r w:rsidR="008C63CB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problemsk</w:t>
            </w:r>
            <w:r w:rsidR="0092486D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zadat</w:t>
            </w:r>
            <w:r w:rsidR="0092486D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ke</w:t>
            </w:r>
            <w:r w:rsidR="00C82AE1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te rad u </w:t>
            </w:r>
            <w:r w:rsidR="001B7047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knjigovodstvenom</w:t>
            </w:r>
            <w:r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programu</w:t>
            </w:r>
            <w:r w:rsidR="006F5F8D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="001B7047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na </w:t>
            </w:r>
            <w:r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</w:t>
            </w:r>
            <w:r w:rsidR="001B7047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</w:t>
            </w:r>
            <w:r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unaprijed određenih kriterija vrednovanja postignuća</w:t>
            </w:r>
            <w:r w:rsidR="00C25A16" w:rsidRPr="002F665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</w:t>
            </w:r>
          </w:p>
          <w:p w14:paraId="68167F34" w14:textId="77777777" w:rsidR="00723C62" w:rsidRPr="00723C62" w:rsidRDefault="00A74304" w:rsidP="00723C62">
            <w:pPr>
              <w:spacing w:before="120" w:after="24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723C62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  <w:r w:rsidR="002F6650" w:rsidRPr="00723C6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480BBF" w14:textId="32970E90" w:rsidR="00A74304" w:rsidRPr="00723C62" w:rsidRDefault="00A74304" w:rsidP="00723C62">
            <w:pPr>
              <w:spacing w:before="120" w:after="24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723C62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</w:t>
            </w:r>
            <w:r w:rsidR="00AD6B6B" w:rsidRPr="00723C62">
              <w:rPr>
                <w:rFonts w:cstheme="minorHAnsi"/>
                <w:sz w:val="20"/>
                <w:szCs w:val="20"/>
              </w:rPr>
              <w:t xml:space="preserve">Uvjerenje o usavršavanju </w:t>
            </w:r>
            <w:r w:rsidR="0077563C" w:rsidRPr="00723C62">
              <w:rPr>
                <w:rFonts w:cstheme="minorHAnsi"/>
                <w:sz w:val="20"/>
                <w:szCs w:val="20"/>
              </w:rPr>
              <w:t>za stjecanje mikrokvalifikacije izrada i analiza temeljnih financijskih izvještaja.</w:t>
            </w:r>
          </w:p>
        </w:tc>
      </w:tr>
      <w:tr w:rsidR="00A74304" w:rsidRPr="00F919E2" w14:paraId="34A012B0" w14:textId="77777777" w:rsidTr="001D325C">
        <w:trPr>
          <w:trHeight w:val="732"/>
        </w:trPr>
        <w:tc>
          <w:tcPr>
            <w:tcW w:w="1529" w:type="pct"/>
            <w:shd w:val="clear" w:color="auto" w:fill="B8CCE4"/>
          </w:tcPr>
          <w:p w14:paraId="0FD8C313" w14:textId="4BC283AA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71" w:type="pct"/>
            <w:gridSpan w:val="4"/>
          </w:tcPr>
          <w:p w14:paraId="26882EFB" w14:textId="6D42B141" w:rsidR="00E0708A" w:rsidRDefault="00A74304" w:rsidP="009761CF">
            <w:pPr>
              <w:spacing w:before="60" w:after="6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94ED0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r w:rsidR="00E31814" w:rsidRPr="00F94ED0">
              <w:rPr>
                <w:rFonts w:cstheme="minorHAnsi"/>
                <w:sz w:val="20"/>
                <w:szCs w:val="20"/>
              </w:rPr>
              <w:t>mikrokva</w:t>
            </w:r>
            <w:r w:rsidR="00F94ED0" w:rsidRPr="00F94ED0">
              <w:rPr>
                <w:rFonts w:cstheme="minorHAnsi"/>
                <w:sz w:val="20"/>
                <w:szCs w:val="20"/>
              </w:rPr>
              <w:t xml:space="preserve">lifikacije </w:t>
            </w:r>
            <w:r w:rsidR="009638AC" w:rsidRPr="009638AC">
              <w:rPr>
                <w:rFonts w:cstheme="minorHAnsi"/>
                <w:sz w:val="20"/>
                <w:szCs w:val="20"/>
              </w:rPr>
              <w:t>izrada i analiza temeljnih financijskih izvještaja</w:t>
            </w:r>
            <w:r w:rsidR="00F94ED0" w:rsidRPr="00F94ED0">
              <w:rPr>
                <w:rFonts w:cstheme="minorHAnsi"/>
                <w:sz w:val="20"/>
                <w:szCs w:val="20"/>
              </w:rPr>
              <w:t xml:space="preserve"> </w:t>
            </w:r>
            <w:r w:rsidRPr="00F94ED0">
              <w:rPr>
                <w:rFonts w:cstheme="minorHAnsi"/>
                <w:sz w:val="20"/>
                <w:szCs w:val="20"/>
              </w:rPr>
              <w:t xml:space="preserve">provodi se redovitom nastavom u trajanju od </w:t>
            </w:r>
            <w:r w:rsidR="007B38E2">
              <w:rPr>
                <w:rFonts w:cstheme="minorHAnsi"/>
                <w:sz w:val="20"/>
                <w:szCs w:val="20"/>
              </w:rPr>
              <w:t xml:space="preserve">175 </w:t>
            </w:r>
            <w:r w:rsidRPr="00F94ED0">
              <w:rPr>
                <w:rFonts w:cstheme="minorHAnsi"/>
                <w:sz w:val="20"/>
                <w:szCs w:val="20"/>
              </w:rPr>
              <w:t xml:space="preserve">sati, </w:t>
            </w:r>
            <w:r w:rsidR="00723C62" w:rsidRPr="00723C62">
              <w:rPr>
                <w:rFonts w:cstheme="minorHAnsi"/>
                <w:sz w:val="20"/>
                <w:szCs w:val="20"/>
              </w:rPr>
              <w:t xml:space="preserve">uz mogućnost izvođenja cijelog programa, u </w:t>
            </w:r>
            <w:r w:rsidR="00723C62" w:rsidRPr="00723C62">
              <w:rPr>
                <w:rFonts w:cstheme="minorHAnsi"/>
                <w:i/>
                <w:iCs/>
                <w:sz w:val="20"/>
                <w:szCs w:val="20"/>
              </w:rPr>
              <w:t xml:space="preserve">online </w:t>
            </w:r>
            <w:r w:rsidR="00723C62" w:rsidRPr="00723C62">
              <w:rPr>
                <w:rFonts w:cstheme="minorHAnsi"/>
                <w:sz w:val="20"/>
                <w:szCs w:val="20"/>
              </w:rPr>
              <w:t>okruženju, u stvarnom vremenu.</w:t>
            </w:r>
          </w:p>
          <w:p w14:paraId="3F0AA1C7" w14:textId="4DF8FD9D" w:rsidR="00A74304" w:rsidRPr="00F94ED0" w:rsidRDefault="00A74304" w:rsidP="00A7430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94ED0">
              <w:rPr>
                <w:rFonts w:cstheme="minorHAnsi"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0D449B">
              <w:rPr>
                <w:rFonts w:cstheme="minorHAnsi"/>
                <w:sz w:val="20"/>
                <w:szCs w:val="20"/>
              </w:rPr>
              <w:t>4</w:t>
            </w:r>
            <w:r w:rsidR="00BB6A5A">
              <w:rPr>
                <w:rFonts w:cstheme="minorHAnsi"/>
                <w:sz w:val="20"/>
                <w:szCs w:val="20"/>
              </w:rPr>
              <w:t>2</w:t>
            </w:r>
            <w:r w:rsidRPr="00F94ED0">
              <w:rPr>
                <w:rFonts w:cstheme="minorHAnsi"/>
                <w:sz w:val="20"/>
                <w:szCs w:val="20"/>
              </w:rPr>
              <w:t xml:space="preserve"> sat</w:t>
            </w:r>
            <w:r w:rsidR="00BB6A5A">
              <w:rPr>
                <w:rFonts w:cstheme="minorHAnsi"/>
                <w:sz w:val="20"/>
                <w:szCs w:val="20"/>
              </w:rPr>
              <w:t>a</w:t>
            </w:r>
            <w:r w:rsidRPr="00F94ED0">
              <w:rPr>
                <w:rFonts w:cstheme="minorHAnsi"/>
                <w:sz w:val="20"/>
                <w:szCs w:val="20"/>
              </w:rPr>
              <w:t>, dijelom učenje</w:t>
            </w:r>
            <w:r w:rsidR="00390DCF" w:rsidRPr="00F94ED0">
              <w:rPr>
                <w:rFonts w:cstheme="minorHAnsi"/>
                <w:sz w:val="20"/>
                <w:szCs w:val="20"/>
              </w:rPr>
              <w:t>m</w:t>
            </w:r>
            <w:r w:rsidRPr="00F94ED0">
              <w:rPr>
                <w:rFonts w:cstheme="minorHAnsi"/>
                <w:sz w:val="20"/>
                <w:szCs w:val="20"/>
              </w:rPr>
              <w:t xml:space="preserve"> temeljen</w:t>
            </w:r>
            <w:r w:rsidR="00390DCF" w:rsidRPr="00F94ED0">
              <w:rPr>
                <w:rFonts w:cstheme="minorHAnsi"/>
                <w:sz w:val="20"/>
                <w:szCs w:val="20"/>
              </w:rPr>
              <w:t>im</w:t>
            </w:r>
            <w:r w:rsidRPr="00F94ED0">
              <w:rPr>
                <w:rFonts w:cstheme="minorHAnsi"/>
                <w:sz w:val="20"/>
                <w:szCs w:val="20"/>
              </w:rPr>
              <w:t xml:space="preserve"> na radu u trajanju od </w:t>
            </w:r>
            <w:r w:rsidR="00BB6A5A">
              <w:rPr>
                <w:rFonts w:cstheme="minorHAnsi"/>
                <w:sz w:val="20"/>
                <w:szCs w:val="20"/>
              </w:rPr>
              <w:t>98</w:t>
            </w:r>
            <w:r w:rsidRPr="00F94ED0">
              <w:rPr>
                <w:rFonts w:cstheme="minorHAnsi"/>
                <w:sz w:val="20"/>
                <w:szCs w:val="20"/>
              </w:rPr>
              <w:t xml:space="preserve"> sat</w:t>
            </w:r>
            <w:r w:rsidR="00BB6A5A">
              <w:rPr>
                <w:rFonts w:cstheme="minorHAnsi"/>
                <w:sz w:val="20"/>
                <w:szCs w:val="20"/>
              </w:rPr>
              <w:t>i</w:t>
            </w:r>
            <w:r w:rsidRPr="00F94ED0">
              <w:rPr>
                <w:rFonts w:cstheme="minorHAnsi"/>
                <w:sz w:val="20"/>
                <w:szCs w:val="20"/>
              </w:rPr>
              <w:t>, a dijelom samostaln</w:t>
            </w:r>
            <w:r w:rsidR="00390DCF" w:rsidRPr="00F94ED0">
              <w:rPr>
                <w:rFonts w:cstheme="minorHAnsi"/>
                <w:sz w:val="20"/>
                <w:szCs w:val="20"/>
              </w:rPr>
              <w:t>im</w:t>
            </w:r>
            <w:r w:rsidRPr="00F94ED0">
              <w:rPr>
                <w:rFonts w:cstheme="minorHAnsi"/>
                <w:sz w:val="20"/>
                <w:szCs w:val="20"/>
              </w:rPr>
              <w:t xml:space="preserve"> aktivnost</w:t>
            </w:r>
            <w:r w:rsidR="00390DCF" w:rsidRPr="00F94ED0">
              <w:rPr>
                <w:rFonts w:cstheme="minorHAnsi"/>
                <w:sz w:val="20"/>
                <w:szCs w:val="20"/>
              </w:rPr>
              <w:t>ima</w:t>
            </w:r>
            <w:r w:rsidRPr="00F94ED0">
              <w:rPr>
                <w:rFonts w:cstheme="minorHAnsi"/>
                <w:sz w:val="20"/>
                <w:szCs w:val="20"/>
              </w:rPr>
              <w:t xml:space="preserve"> polaznika, u trajanju od  </w:t>
            </w:r>
            <w:r w:rsidR="00BB6A5A">
              <w:rPr>
                <w:rFonts w:cstheme="minorHAnsi"/>
                <w:sz w:val="20"/>
                <w:szCs w:val="20"/>
              </w:rPr>
              <w:t>35</w:t>
            </w:r>
            <w:r w:rsidRPr="00F94ED0">
              <w:rPr>
                <w:rFonts w:cstheme="minorHAnsi"/>
                <w:sz w:val="20"/>
                <w:szCs w:val="20"/>
              </w:rPr>
              <w:t xml:space="preserve"> sat</w:t>
            </w:r>
            <w:r w:rsidR="00390DCF" w:rsidRPr="00F94ED0">
              <w:rPr>
                <w:rFonts w:cstheme="minorHAnsi"/>
                <w:sz w:val="20"/>
                <w:szCs w:val="20"/>
              </w:rPr>
              <w:t>i</w:t>
            </w:r>
            <w:r w:rsidRPr="00F94ED0">
              <w:rPr>
                <w:rFonts w:cstheme="minorHAnsi"/>
                <w:sz w:val="20"/>
                <w:szCs w:val="20"/>
              </w:rPr>
              <w:t>.</w:t>
            </w:r>
          </w:p>
          <w:p w14:paraId="117A91D1" w14:textId="2BFDF763" w:rsidR="00B1039B" w:rsidRDefault="00A74304" w:rsidP="00590EDD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94ED0">
              <w:rPr>
                <w:rFonts w:cstheme="minorHAnsi"/>
                <w:sz w:val="20"/>
                <w:szCs w:val="20"/>
              </w:rPr>
              <w:t>Učenje temeljeno na radu obuhvaća izvršenje konkretnih radnih zadaća u simuliranim</w:t>
            </w:r>
            <w:r w:rsidR="002F2F24" w:rsidRPr="00F94ED0">
              <w:rPr>
                <w:rFonts w:cstheme="minorHAnsi"/>
                <w:sz w:val="20"/>
                <w:szCs w:val="20"/>
              </w:rPr>
              <w:t xml:space="preserve"> ili stvarnim</w:t>
            </w:r>
            <w:r w:rsidRPr="00F94ED0">
              <w:rPr>
                <w:rFonts w:cstheme="minorHAnsi"/>
                <w:sz w:val="20"/>
                <w:szCs w:val="20"/>
              </w:rPr>
              <w:t xml:space="preserve"> uvjetima </w:t>
            </w:r>
            <w:r w:rsidR="008D47D1">
              <w:rPr>
                <w:rFonts w:cstheme="minorHAnsi"/>
                <w:sz w:val="20"/>
                <w:szCs w:val="20"/>
              </w:rPr>
              <w:t xml:space="preserve">te simulaciju problemskih zadataka </w:t>
            </w:r>
            <w:r w:rsidRPr="00F94ED0">
              <w:rPr>
                <w:rFonts w:cstheme="minorHAnsi"/>
                <w:sz w:val="20"/>
                <w:szCs w:val="20"/>
              </w:rPr>
              <w:t xml:space="preserve">uz korištenje </w:t>
            </w:r>
            <w:r w:rsidR="00B53ABB" w:rsidRPr="00F94ED0">
              <w:rPr>
                <w:rFonts w:cstheme="minorHAnsi"/>
                <w:sz w:val="20"/>
                <w:szCs w:val="20"/>
              </w:rPr>
              <w:t>knjigovodstvenog</w:t>
            </w:r>
            <w:r w:rsidRPr="00F94ED0">
              <w:rPr>
                <w:rFonts w:cstheme="minorHAnsi"/>
                <w:sz w:val="20"/>
                <w:szCs w:val="20"/>
              </w:rPr>
              <w:t xml:space="preserve"> softvera.</w:t>
            </w:r>
          </w:p>
          <w:p w14:paraId="50AD2220" w14:textId="7BB113B0" w:rsidR="009D588E" w:rsidRDefault="009D588E" w:rsidP="00590EDD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588E">
              <w:rPr>
                <w:rFonts w:cstheme="minorHAnsi"/>
                <w:sz w:val="20"/>
                <w:szCs w:val="20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09C062EF" w14:textId="20191DE7" w:rsidR="00723C62" w:rsidRPr="00F42C6E" w:rsidRDefault="00782A74" w:rsidP="00723C62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Učenje temeljeno na radu provodi se u </w:t>
            </w:r>
            <w:r w:rsidR="00E60076" w:rsidRPr="00E60076">
              <w:rPr>
                <w:rFonts w:cstheme="minorHAnsi"/>
                <w:sz w:val="20"/>
                <w:szCs w:val="20"/>
              </w:rPr>
              <w:t>specijaliziranim učionicima i/ili kod poslodavaca (u knjigovodstvenim servisima) s kojim Ustanova ima sklopljeni ugovor o suradnji.</w:t>
            </w:r>
          </w:p>
        </w:tc>
      </w:tr>
      <w:tr w:rsidR="00C759FB" w:rsidRPr="00F919E2" w14:paraId="2F5BF833" w14:textId="77777777" w:rsidTr="001D325C">
        <w:trPr>
          <w:trHeight w:val="620"/>
        </w:trPr>
        <w:tc>
          <w:tcPr>
            <w:tcW w:w="1529" w:type="pct"/>
            <w:shd w:val="clear" w:color="auto" w:fill="B8CCE4"/>
          </w:tcPr>
          <w:p w14:paraId="13E00E54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71" w:type="pct"/>
            <w:gridSpan w:val="4"/>
          </w:tcPr>
          <w:p w14:paraId="159279EB" w14:textId="0D8D66E1" w:rsidR="00C759FB" w:rsidRPr="006E241C" w:rsidRDefault="006E241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A74304" w:rsidRPr="00F919E2" w14:paraId="6596F4E3" w14:textId="77777777" w:rsidTr="001D325C">
        <w:trPr>
          <w:trHeight w:val="557"/>
        </w:trPr>
        <w:tc>
          <w:tcPr>
            <w:tcW w:w="1529" w:type="pct"/>
            <w:shd w:val="clear" w:color="auto" w:fill="B8CCE4"/>
          </w:tcPr>
          <w:p w14:paraId="764D8F78" w14:textId="77777777" w:rsidR="00A74304" w:rsidRPr="00F919E2" w:rsidRDefault="00A74304" w:rsidP="00A7430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71" w:type="pct"/>
            <w:gridSpan w:val="4"/>
          </w:tcPr>
          <w:p w14:paraId="1885F1B9" w14:textId="04B07313" w:rsidR="00A74304" w:rsidRPr="006E241C" w:rsidRDefault="006E241C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A74304" w:rsidRPr="00F919E2" w14:paraId="2C76E0A8" w14:textId="77777777" w:rsidTr="001D325C">
        <w:trPr>
          <w:trHeight w:val="1093"/>
        </w:trPr>
        <w:tc>
          <w:tcPr>
            <w:tcW w:w="1529" w:type="pct"/>
            <w:shd w:val="clear" w:color="auto" w:fill="B8CCE4"/>
            <w:hideMark/>
          </w:tcPr>
          <w:p w14:paraId="1C3897D4" w14:textId="77777777" w:rsidR="00A74304" w:rsidRPr="00F919E2" w:rsidRDefault="00A74304" w:rsidP="00A7430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71" w:type="pct"/>
            <w:gridSpan w:val="4"/>
          </w:tcPr>
          <w:p w14:paraId="6E664959" w14:textId="3CB0A9B3" w:rsidR="00A74304" w:rsidRDefault="00296BB5" w:rsidP="00215E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5536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https://hko.srce.hr/registar/skup-ishoda-ucenja/detalji/12412</w:t>
              </w:r>
            </w:hyperlink>
          </w:p>
          <w:p w14:paraId="0D172E2E" w14:textId="0B684EF6" w:rsidR="006E241C" w:rsidRDefault="006E241C" w:rsidP="00215E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5536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https://hko.srce.hr/registar/skup-ishoda-ucenja/detalji/12521</w:t>
              </w:r>
            </w:hyperlink>
          </w:p>
          <w:p w14:paraId="59E12088" w14:textId="77777777" w:rsidR="006E241C" w:rsidRDefault="006E241C" w:rsidP="00215E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5536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https://hko.srce.hr/registar/skup-ishoda-ucenja/detalji/12417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CDBC282" w14:textId="77777777" w:rsidR="00BA0A4D" w:rsidRDefault="00BA0A4D" w:rsidP="00BA0A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01A6E0B" w14:textId="64E9EAA6" w:rsidR="00BA0A4D" w:rsidRPr="00BA0A4D" w:rsidRDefault="00BA0A4D" w:rsidP="00BA0A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A0A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Standardna učionica – priklade veličine opremljena računalom za nastavnika, projektorom, zaslonom, internetskom vezom, računalnim programima, knjigovodstvenim softverom.</w:t>
            </w:r>
          </w:p>
          <w:p w14:paraId="20FC796F" w14:textId="77777777" w:rsidR="00BA0A4D" w:rsidRPr="00BA0A4D" w:rsidRDefault="00BA0A4D" w:rsidP="00BA0A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254FE5" w14:textId="10CB5E36" w:rsidR="00BA0A4D" w:rsidRPr="0062235E" w:rsidRDefault="00BA0A4D" w:rsidP="00BA0A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A0A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Specijalizirana učenica – računalo za svakog polaznika, internetska veza, knjigovodstveni softver</w:t>
            </w:r>
          </w:p>
        </w:tc>
      </w:tr>
      <w:tr w:rsidR="00C759FB" w:rsidRPr="00F919E2" w14:paraId="64AD4354" w14:textId="77777777" w:rsidTr="001D325C">
        <w:trPr>
          <w:trHeight w:val="304"/>
        </w:trPr>
        <w:tc>
          <w:tcPr>
            <w:tcW w:w="5000" w:type="pct"/>
            <w:gridSpan w:val="5"/>
            <w:shd w:val="clear" w:color="auto" w:fill="95B3D7"/>
            <w:hideMark/>
          </w:tcPr>
          <w:p w14:paraId="679546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1D325C" w:rsidRPr="00861542" w14:paraId="2DB23D25" w14:textId="77777777" w:rsidTr="001D325C">
        <w:trPr>
          <w:gridAfter w:val="1"/>
          <w:wAfter w:w="4" w:type="pct"/>
          <w:trHeight w:val="304"/>
        </w:trPr>
        <w:tc>
          <w:tcPr>
            <w:tcW w:w="4996" w:type="pct"/>
            <w:gridSpan w:val="4"/>
          </w:tcPr>
          <w:p w14:paraId="69841505" w14:textId="7E3A7ACB" w:rsidR="00C5588D" w:rsidRPr="00C5588D" w:rsidRDefault="0094146D" w:rsidP="00C5588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C37E9">
              <w:rPr>
                <w:rFonts w:cstheme="minorHAnsi"/>
                <w:sz w:val="20"/>
                <w:szCs w:val="20"/>
              </w:rPr>
              <w:t>koristiti računovodstvene programe za vođenje računovodstvenih poslova</w:t>
            </w:r>
          </w:p>
          <w:p w14:paraId="36CCC7F1" w14:textId="41E27609" w:rsidR="00C5588D" w:rsidRPr="00C5588D" w:rsidRDefault="0094146D" w:rsidP="00C5588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primjenjivati računovodstvena načela i standarde financijskih izvještaja</w:t>
            </w:r>
          </w:p>
          <w:p w14:paraId="0289DBE6" w14:textId="71BE2EA7" w:rsidR="00C5588D" w:rsidRPr="00C5588D" w:rsidRDefault="0094146D" w:rsidP="00C5588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primjenjivati porezne propise u poslovanju malih i srednjih poduzeća</w:t>
            </w:r>
          </w:p>
          <w:p w14:paraId="64B395DD" w14:textId="77777777" w:rsidR="0094146D" w:rsidRDefault="0094146D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prikupljati, sortirati, grupirati i sistematizirati podatke za potrebe izrade financijskih izvještaja i ostalih poslovnih izvješća</w:t>
            </w:r>
          </w:p>
          <w:p w14:paraId="3E367D5C" w14:textId="2AE4E69A" w:rsidR="00813861" w:rsidRDefault="00C958BE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lastRenderedPageBreak/>
              <w:t>sudjelovati u pripremi porezne prijave na propisanim obrascima uz poštivanje rokova za njihovu predaju Poreznoj upravi</w:t>
            </w:r>
          </w:p>
          <w:p w14:paraId="6E79BB17" w14:textId="3578EE9E" w:rsidR="00C958BE" w:rsidRDefault="00C958BE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sudjelovati u sastavljanju temeljn</w:t>
            </w:r>
            <w:r w:rsidR="00792A18">
              <w:rPr>
                <w:rFonts w:cstheme="minorHAnsi"/>
                <w:sz w:val="20"/>
                <w:szCs w:val="20"/>
              </w:rPr>
              <w:t>ih</w:t>
            </w:r>
            <w:r w:rsidRPr="00C958BE">
              <w:rPr>
                <w:rFonts w:cstheme="minorHAnsi"/>
                <w:sz w:val="20"/>
                <w:szCs w:val="20"/>
              </w:rPr>
              <w:t xml:space="preserve"> financijsk</w:t>
            </w:r>
            <w:r w:rsidR="00792A18">
              <w:rPr>
                <w:rFonts w:cstheme="minorHAnsi"/>
                <w:sz w:val="20"/>
                <w:szCs w:val="20"/>
              </w:rPr>
              <w:t>ih</w:t>
            </w:r>
            <w:r w:rsidRPr="00C958BE">
              <w:rPr>
                <w:rFonts w:cstheme="minorHAnsi"/>
                <w:sz w:val="20"/>
                <w:szCs w:val="20"/>
              </w:rPr>
              <w:t xml:space="preserve"> izvještaj</w:t>
            </w:r>
            <w:r w:rsidR="00792A18">
              <w:rPr>
                <w:rFonts w:cstheme="minorHAnsi"/>
                <w:sz w:val="20"/>
                <w:szCs w:val="20"/>
              </w:rPr>
              <w:t>a</w:t>
            </w:r>
            <w:r w:rsidRPr="00C958BE">
              <w:rPr>
                <w:rFonts w:cstheme="minorHAnsi"/>
                <w:sz w:val="20"/>
                <w:szCs w:val="20"/>
              </w:rPr>
              <w:t xml:space="preserve"> (GFI) na propisanim obrascima uz poštivanje rokova za njihovu javnu objavu</w:t>
            </w:r>
          </w:p>
          <w:p w14:paraId="04BC4ACE" w14:textId="12FBA3E9" w:rsidR="0094146D" w:rsidRDefault="0094146D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analizirati troškove malih i srednjih poduzeća pravovremeno</w:t>
            </w:r>
            <w:r w:rsidR="00E76FC4">
              <w:rPr>
                <w:rFonts w:cstheme="minorHAnsi"/>
                <w:sz w:val="20"/>
                <w:szCs w:val="20"/>
              </w:rPr>
              <w:t>m</w:t>
            </w:r>
            <w:r w:rsidRPr="00C958BE">
              <w:rPr>
                <w:rFonts w:cstheme="minorHAnsi"/>
                <w:sz w:val="20"/>
                <w:szCs w:val="20"/>
              </w:rPr>
              <w:t xml:space="preserve"> analizom prikupljenih podatka</w:t>
            </w:r>
          </w:p>
          <w:p w14:paraId="738D8A8E" w14:textId="77777777" w:rsidR="00672BC5" w:rsidRDefault="00C958BE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958BE">
              <w:rPr>
                <w:rFonts w:cstheme="minorHAnsi"/>
                <w:sz w:val="20"/>
                <w:szCs w:val="20"/>
              </w:rPr>
              <w:t>izračunavati financijske pokazatelje za potrebe malih i srednjih poduzeća</w:t>
            </w:r>
          </w:p>
          <w:p w14:paraId="65FCC8DA" w14:textId="049F6359" w:rsidR="00394990" w:rsidRPr="0094146D" w:rsidRDefault="00017F53" w:rsidP="00F4624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17F53">
              <w:rPr>
                <w:rFonts w:cstheme="minorHAnsi"/>
                <w:sz w:val="20"/>
                <w:szCs w:val="20"/>
              </w:rPr>
              <w:t>provoditi informacijsku sigurnost u poslovanju malih i srednjih poduzeća</w:t>
            </w:r>
          </w:p>
        </w:tc>
      </w:tr>
      <w:tr w:rsidR="00C759FB" w:rsidRPr="00F919E2" w14:paraId="3D59805F" w14:textId="77777777" w:rsidTr="001D325C">
        <w:trPr>
          <w:trHeight w:val="951"/>
        </w:trPr>
        <w:tc>
          <w:tcPr>
            <w:tcW w:w="1529" w:type="pct"/>
            <w:shd w:val="clear" w:color="auto" w:fill="B8CCE4"/>
            <w:hideMark/>
          </w:tcPr>
          <w:p w14:paraId="29E08823" w14:textId="0E072A93" w:rsidR="00C759FB" w:rsidRPr="00F919E2" w:rsidRDefault="002132B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71" w:type="pct"/>
            <w:gridSpan w:val="4"/>
          </w:tcPr>
          <w:p w14:paraId="6E2B789D" w14:textId="77777777" w:rsidR="00A74304" w:rsidRPr="00211993" w:rsidRDefault="00A74304" w:rsidP="00A74304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14BF16A0" w14:textId="77777777" w:rsidR="00A74304" w:rsidRPr="00211993" w:rsidRDefault="00A74304" w:rsidP="00F4624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01D3A7B5" w14:textId="77777777" w:rsidR="00A74304" w:rsidRPr="00211993" w:rsidRDefault="00A74304" w:rsidP="00F4624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D58B58" w14:textId="77777777" w:rsidR="00A74304" w:rsidRPr="00211993" w:rsidRDefault="00A74304" w:rsidP="00F4624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E4F787A" w14:textId="77777777" w:rsidR="00A74304" w:rsidRPr="00211993" w:rsidRDefault="00A74304" w:rsidP="00F4624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48E51F3D" w14:textId="77777777" w:rsidR="00723C62" w:rsidRDefault="00723C62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3C62">
              <w:rPr>
                <w:rFonts w:asciiTheme="minorHAnsi" w:hAnsiTheme="minorHAnsi" w:cstheme="minorHAnsi"/>
                <w:sz w:val="20"/>
                <w:szCs w:val="20"/>
              </w:rPr>
              <w:t>Na temelju rezultata anketa dobiva se pregled uspješnosti izvedbe programa te postignuća polaznika, kao i  procjena kvalitete nastavničkog rada ustanove.</w:t>
            </w:r>
          </w:p>
          <w:p w14:paraId="25D37C6F" w14:textId="5C7D2AF0" w:rsidR="00C759FB" w:rsidRPr="00F919E2" w:rsidRDefault="00A74304" w:rsidP="00A7430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projektnim i problemskim zadatcima, a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>temelj</w:t>
            </w:r>
            <w:r w:rsidR="001D083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1993">
              <w:rPr>
                <w:rFonts w:asciiTheme="minorHAnsi" w:hAnsiTheme="minorHAnsi" w:cstheme="minorHAnsi"/>
                <w:sz w:val="20"/>
                <w:szCs w:val="20"/>
              </w:rPr>
              <w:t xml:space="preserve"> unaprijed određenih kriterija vrednovanja postignuća.</w:t>
            </w:r>
          </w:p>
        </w:tc>
      </w:tr>
      <w:tr w:rsidR="00C759FB" w:rsidRPr="00F919E2" w14:paraId="56EB1F55" w14:textId="77777777" w:rsidTr="001D325C">
        <w:trPr>
          <w:trHeight w:val="513"/>
        </w:trPr>
        <w:tc>
          <w:tcPr>
            <w:tcW w:w="1529" w:type="pct"/>
            <w:shd w:val="clear" w:color="auto" w:fill="B8CCE4"/>
            <w:hideMark/>
          </w:tcPr>
          <w:p w14:paraId="2D9E9262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71" w:type="pct"/>
            <w:gridSpan w:val="4"/>
          </w:tcPr>
          <w:p w14:paraId="37627339" w14:textId="07976C76" w:rsidR="00C759FB" w:rsidRPr="00074D13" w:rsidRDefault="00C759F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811B9E8" w14:textId="77777777" w:rsidR="007F508D" w:rsidRDefault="007F508D" w:rsidP="00162F8C">
      <w:pPr>
        <w:rPr>
          <w:rFonts w:cstheme="minorHAnsi"/>
          <w:b/>
          <w:bCs/>
          <w:noProof/>
          <w:sz w:val="24"/>
          <w:szCs w:val="24"/>
        </w:rPr>
        <w:sectPr w:rsidR="007F508D" w:rsidSect="0043085E">
          <w:footerReference w:type="defaul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976449" w14:textId="12011B41" w:rsidR="00C759FB" w:rsidRPr="007F508D" w:rsidRDefault="00C759FB" w:rsidP="007F508D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7F508D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212214" w:rsidRPr="00F919E2" w14:paraId="0C3EF0D5" w14:textId="77777777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3C7961C1" w:rsidR="00212214" w:rsidRPr="00F919E2" w:rsidRDefault="00212214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F504D72" w:rsidR="00212214" w:rsidRPr="00074D13" w:rsidRDefault="008E1A9F" w:rsidP="00212214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</w:t>
            </w:r>
            <w:r w:rsidRPr="00BA1E7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ZRADA I ANALIZA TEMELJNIH FINANCIJSKIH IZVJEŠTAJA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4F84D0B0" w:rsidR="00212214" w:rsidRPr="00F919E2" w:rsidRDefault="004057E8" w:rsidP="00212214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9130E">
              <w:rPr>
                <w:rFonts w:cstheme="minorHAnsi"/>
                <w:sz w:val="20"/>
                <w:szCs w:val="20"/>
              </w:rPr>
              <w:t>Pripremanje podataka za sastavljanje godišnjih financijskih izvještaja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87CF7A4" w:rsidR="00212214" w:rsidRPr="00F919E2" w:rsidRDefault="004235E1" w:rsidP="00212214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2A18E173" w:rsidR="00212214" w:rsidRPr="00F919E2" w:rsidRDefault="004057E8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7A602994" w:rsidR="00212214" w:rsidRPr="00F919E2" w:rsidRDefault="00EB128B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4F902FFD" w:rsidR="00212214" w:rsidRPr="00F919E2" w:rsidRDefault="00EB128B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233C5C9E" w:rsidR="00212214" w:rsidRPr="00F919E2" w:rsidRDefault="00EB128B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09E41FD" w:rsidR="00212214" w:rsidRPr="00F919E2" w:rsidRDefault="004057E8" w:rsidP="00212214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4235E1" w:rsidRPr="00F919E2" w14:paraId="3A254EA1" w14:textId="77777777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F959F00" w14:textId="77777777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1BB43" w14:textId="77777777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C159" w14:textId="2D4D1A7A" w:rsidR="004235E1" w:rsidRPr="00F919E2" w:rsidRDefault="004057E8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9130E">
              <w:rPr>
                <w:rFonts w:cstheme="minorHAnsi"/>
                <w:sz w:val="20"/>
                <w:szCs w:val="20"/>
              </w:rPr>
              <w:t>Sastavljanje godišnjih financijskih izvještaja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3C2A" w14:textId="4B2CEB18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E003" w14:textId="5BA43A72" w:rsidR="004235E1" w:rsidRPr="00F919E2" w:rsidRDefault="004057E8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BB3D" w14:textId="270B323E" w:rsidR="004235E1" w:rsidRPr="00F919E2" w:rsidRDefault="004524E9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FF94" w14:textId="5EEC694A" w:rsidR="004235E1" w:rsidRPr="00F919E2" w:rsidRDefault="004524E9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CA99" w14:textId="68702DF2" w:rsidR="004235E1" w:rsidRPr="00F919E2" w:rsidRDefault="004524E9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5E1A7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7636E9" w14:textId="580BE507" w:rsidR="004235E1" w:rsidRPr="00F919E2" w:rsidRDefault="004057E8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4235E1" w:rsidRPr="00F919E2" w14:paraId="53FCBC1C" w14:textId="77777777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A54951" w14:textId="77777777" w:rsidR="004235E1" w:rsidRPr="00F919E2" w:rsidRDefault="004235E1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A6DE3" w14:textId="77777777" w:rsidR="004235E1" w:rsidRPr="00F919E2" w:rsidRDefault="004235E1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5F8E" w14:textId="4F1AE099" w:rsidR="004235E1" w:rsidRPr="00F919E2" w:rsidRDefault="004057E8" w:rsidP="004235E1">
            <w:pPr>
              <w:spacing w:before="40" w:after="4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Temeljni financijski izvještaji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8602" w14:textId="4398F15A" w:rsidR="004235E1" w:rsidRPr="00F919E2" w:rsidRDefault="004235E1" w:rsidP="004235E1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AFC6" w14:textId="61FFAC15" w:rsidR="004235E1" w:rsidRPr="00F919E2" w:rsidRDefault="004057E8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2FD8" w14:textId="5C6A3123" w:rsidR="004235E1" w:rsidRPr="00F919E2" w:rsidRDefault="00DA61E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6768" w14:textId="387E5FFB" w:rsidR="004235E1" w:rsidRPr="00F919E2" w:rsidRDefault="00DA61E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D705" w14:textId="482B68FB" w:rsidR="004235E1" w:rsidRPr="00F919E2" w:rsidRDefault="00DA61E6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0DDDA4" w14:textId="68984700" w:rsidR="004235E1" w:rsidRPr="00F919E2" w:rsidRDefault="004057E8" w:rsidP="004235E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260D87" w:rsidRPr="00F919E2" w14:paraId="2FEF4CE6" w14:textId="77777777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260D87" w:rsidRPr="00F919E2" w:rsidRDefault="00260D87" w:rsidP="00260D87">
            <w:pPr>
              <w:spacing w:before="40" w:after="4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65737D2" w:rsidR="00260D87" w:rsidRPr="00F919E2" w:rsidRDefault="00606386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B0E989E" w:rsidR="00260D87" w:rsidRPr="00F919E2" w:rsidRDefault="004D7A90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14CAA16" w:rsidR="00260D87" w:rsidRPr="00F919E2" w:rsidRDefault="002C1A15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065035C" w:rsidR="00260D87" w:rsidRPr="00F919E2" w:rsidRDefault="002C1A15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B33DB4F" w:rsidR="00260D87" w:rsidRPr="00F919E2" w:rsidRDefault="002C1A15" w:rsidP="00260D87">
            <w:pPr>
              <w:spacing w:before="40" w:after="4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2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0DFA2135" w14:textId="08CE7286" w:rsidR="0090151D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730C3D18" w14:textId="77777777" w:rsidR="0090151D" w:rsidRDefault="0090151D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77777777" w:rsidR="00C759FB" w:rsidRPr="00F919E2" w:rsidRDefault="00C759FB" w:rsidP="00F4624B">
      <w:pPr>
        <w:pStyle w:val="ListParagraph"/>
        <w:numPr>
          <w:ilvl w:val="0"/>
          <w:numId w:val="6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F363E" w:rsidRPr="00F919E2" w14:paraId="540F0443" w14:textId="7777777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BE4DF2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1C0FF4D" w14:textId="29CDBAB1" w:rsidR="00DF363E" w:rsidRPr="00F919E2" w:rsidRDefault="00111AF6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A1E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IZRADA I ANALIZA TEMELJNIH FINANCIJSKIH IZVJEŠTAJA</w:t>
            </w:r>
          </w:p>
        </w:tc>
      </w:tr>
      <w:tr w:rsidR="00DF363E" w:rsidRPr="00F919E2" w14:paraId="251836C5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236FA1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D7E65E7" w14:textId="77777777" w:rsidR="00DF363E" w:rsidRPr="00F919E2" w:rsidRDefault="00DF363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F2F42" w:rsidRPr="00F919E2" w14:paraId="64AF0116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9F41E" w14:textId="77777777" w:rsidR="003F2F42" w:rsidRPr="00F919E2" w:rsidRDefault="003F2F42" w:rsidP="003F2F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5560EF9" w14:textId="3661C34F" w:rsidR="00192A16" w:rsidRPr="008F0C59" w:rsidRDefault="00192A16" w:rsidP="00192A16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8F0C59">
                <w:rPr>
                  <w:rStyle w:val="Hyperlink"/>
                  <w:sz w:val="20"/>
                  <w:szCs w:val="20"/>
                </w:rPr>
                <w:t>https://hko.srce.hr/registar/skup-ishoda-ucenja/detalji/12412</w:t>
              </w:r>
            </w:hyperlink>
            <w:r w:rsidRPr="008F0C59">
              <w:rPr>
                <w:sz w:val="20"/>
                <w:szCs w:val="20"/>
              </w:rPr>
              <w:t xml:space="preserve"> </w:t>
            </w:r>
          </w:p>
          <w:p w14:paraId="61893AD3" w14:textId="1578E154" w:rsidR="00192A16" w:rsidRPr="008F0C59" w:rsidRDefault="00192A16" w:rsidP="00192A16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8F0C59">
                <w:rPr>
                  <w:rStyle w:val="Hyperlink"/>
                  <w:sz w:val="20"/>
                  <w:szCs w:val="20"/>
                </w:rPr>
                <w:t>https://hko.srce.hr/registar/skup-ishoda-ucenja/detalji/12521</w:t>
              </w:r>
            </w:hyperlink>
            <w:r w:rsidRPr="008F0C59">
              <w:rPr>
                <w:sz w:val="20"/>
                <w:szCs w:val="20"/>
              </w:rPr>
              <w:t xml:space="preserve"> </w:t>
            </w:r>
          </w:p>
          <w:p w14:paraId="3CCB148C" w14:textId="77777777" w:rsidR="003F2F42" w:rsidRDefault="00192A16" w:rsidP="00192A16">
            <w:pPr>
              <w:spacing w:after="0"/>
              <w:ind w:left="397" w:hanging="397"/>
            </w:pPr>
            <w:hyperlink r:id="rId23" w:history="1">
              <w:r w:rsidRPr="008F0C59">
                <w:rPr>
                  <w:rStyle w:val="Hyperlink"/>
                  <w:sz w:val="20"/>
                  <w:szCs w:val="20"/>
                </w:rPr>
                <w:t>https://hko.srce.hr/registar/skup-ishoda-ucenja/detalji/12417</w:t>
              </w:r>
            </w:hyperlink>
            <w:r>
              <w:t xml:space="preserve"> </w:t>
            </w:r>
          </w:p>
          <w:p w14:paraId="12C9C990" w14:textId="77777777" w:rsidR="00723C62" w:rsidRDefault="00723C62" w:rsidP="00192A16">
            <w:pPr>
              <w:spacing w:after="0"/>
              <w:ind w:left="397" w:hanging="397"/>
            </w:pPr>
          </w:p>
          <w:p w14:paraId="7ABA6758" w14:textId="77777777" w:rsidR="00723C62" w:rsidRPr="00723C62" w:rsidRDefault="00723C62" w:rsidP="00723C62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3C6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5C1B94CD" w14:textId="62674A88" w:rsidR="00723C62" w:rsidRPr="00723C62" w:rsidRDefault="00723C62" w:rsidP="00792A84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23C6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Vođeni proces učenja i poučavanja – najmanje razina 7.1. st ili 7.1. sv HKO-a odgovarajućeg profila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Pr="00723C6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92863CD" w14:textId="77777777" w:rsidR="00723C62" w:rsidRPr="00723C62" w:rsidRDefault="00723C62" w:rsidP="00792A84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C16E07E" w14:textId="7C0D48AF" w:rsidR="00723C62" w:rsidRPr="00766E75" w:rsidRDefault="00723C62" w:rsidP="00792A84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23C6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od 5 godina na računovodstvenim poslovima.  </w:t>
            </w:r>
          </w:p>
        </w:tc>
      </w:tr>
      <w:tr w:rsidR="00DF363E" w:rsidRPr="00F919E2" w14:paraId="2A0B85E4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C9957D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328CAAE" w14:textId="77777777" w:rsidR="00DF363E" w:rsidRDefault="005E1A7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1607B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BD184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  <w:p w14:paraId="097F7663" w14:textId="5BA207FF" w:rsidR="009028D8" w:rsidRPr="009028D8" w:rsidRDefault="009028D8" w:rsidP="00BA0A4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028D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1: Pripremanje podataka za sastavljanje godišnjih financijskih izvještaja </w:t>
            </w:r>
            <w:r w:rsidR="00CF63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 w:rsidR="002E0C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 CSVET)</w:t>
            </w:r>
          </w:p>
          <w:p w14:paraId="79ED5DD9" w14:textId="1C1752C6" w:rsidR="009028D8" w:rsidRPr="009028D8" w:rsidRDefault="009028D8" w:rsidP="00BA0A4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028D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2: Sastavljanje godišnjih financijskih izvještaja </w:t>
            </w:r>
            <w:r w:rsidR="002E0C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(2 CSVET)</w:t>
            </w:r>
          </w:p>
          <w:p w14:paraId="5878B6D9" w14:textId="07BCFD9B" w:rsidR="009028D8" w:rsidRPr="00F919E2" w:rsidRDefault="009028D8" w:rsidP="00BA0A4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028D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3: Temeljni financijski izvještaji</w:t>
            </w:r>
            <w:r w:rsidR="002E0C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(2 CSVET) </w:t>
            </w:r>
          </w:p>
        </w:tc>
      </w:tr>
      <w:tr w:rsidR="00DF363E" w:rsidRPr="00F919E2" w14:paraId="6B96D5BB" w14:textId="7777777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71C3441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0D4C79" w14:textId="77777777" w:rsidR="00DF363E" w:rsidRPr="00F919E2" w:rsidRDefault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93B93E7" w14:textId="77777777" w:rsidR="00DF363E" w:rsidRPr="00F919E2" w:rsidRDefault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DA5C581" w14:textId="77777777" w:rsidR="00DF363E" w:rsidRPr="00F919E2" w:rsidRDefault="00DF36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F363E" w:rsidRPr="00F919E2" w14:paraId="527C7537" w14:textId="77777777" w:rsidTr="422B71D5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1492480B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4AE2910E" w14:textId="056BDDAB" w:rsidR="00DF363E" w:rsidRPr="00F919E2" w:rsidRDefault="00E50CD7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42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E4D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sata 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</w:t>
            </w:r>
            <w:r w:rsidR="005E1A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0E3B5BA" w14:textId="3A09F7B3" w:rsidR="00DF363E" w:rsidRPr="00F919E2" w:rsidRDefault="00E50CD7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98</w:t>
            </w:r>
            <w:r w:rsidR="006E4D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57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57E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C49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6ABF9322" w14:textId="6EEC1674" w:rsidR="00DF363E" w:rsidRPr="00F919E2" w:rsidRDefault="00E50CD7" w:rsidP="0034570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557E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6E4D8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3B6E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C497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607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F363E" w:rsidRPr="00F919E2" w14:paraId="05567AB6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A98E1C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2BD7475" w14:textId="77777777" w:rsidR="00DF363E" w:rsidRPr="00F919E2" w:rsidRDefault="00DF363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9296D64" w14:textId="6182BA57" w:rsidR="00DF363E" w:rsidRPr="00F919E2" w:rsidRDefault="00BD18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D184E" w:rsidRPr="00F919E2" w14:paraId="36C51AF4" w14:textId="7777777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AE5961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6813B19" w14:textId="4DAB5D3B" w:rsidR="00BD184E" w:rsidRPr="00E31814" w:rsidRDefault="0011017C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E31814">
              <w:rPr>
                <w:rFonts w:cstheme="minorHAnsi"/>
                <w:sz w:val="20"/>
                <w:szCs w:val="20"/>
              </w:rPr>
              <w:t>Cilj modula je polaznicima omogućiti stjecanje znanja i vještin</w:t>
            </w:r>
            <w:r w:rsidR="000C72DA" w:rsidRPr="000C72DA">
              <w:rPr>
                <w:rFonts w:cstheme="minorHAnsi"/>
                <w:sz w:val="20"/>
                <w:szCs w:val="20"/>
              </w:rPr>
              <w:t>a</w:t>
            </w:r>
            <w:r w:rsidR="000E4DF5">
              <w:rPr>
                <w:rFonts w:cstheme="minorHAnsi"/>
                <w:sz w:val="20"/>
                <w:szCs w:val="20"/>
              </w:rPr>
              <w:t xml:space="preserve"> </w:t>
            </w:r>
            <w:r w:rsidRPr="00E31814">
              <w:rPr>
                <w:rFonts w:cstheme="minorHAnsi"/>
                <w:sz w:val="20"/>
                <w:szCs w:val="20"/>
              </w:rPr>
              <w:t xml:space="preserve">potrebnih za </w:t>
            </w:r>
            <w:r w:rsidR="00B75F42" w:rsidRPr="00E31814">
              <w:rPr>
                <w:rFonts w:cstheme="minorHAnsi"/>
                <w:sz w:val="20"/>
                <w:szCs w:val="20"/>
              </w:rPr>
              <w:t>sastavljanje i analizu temeljnih financijskih izvještaja</w:t>
            </w:r>
            <w:r w:rsidR="00555767" w:rsidRPr="00E31814">
              <w:rPr>
                <w:rFonts w:cstheme="minorHAnsi"/>
                <w:sz w:val="20"/>
                <w:szCs w:val="20"/>
              </w:rPr>
              <w:t xml:space="preserve"> u</w:t>
            </w:r>
            <w:r w:rsidR="004E6976" w:rsidRPr="00E31814">
              <w:rPr>
                <w:rFonts w:cstheme="minorHAnsi"/>
                <w:sz w:val="20"/>
                <w:szCs w:val="20"/>
              </w:rPr>
              <w:t>z korištenje knjigovodstvenog softvera</w:t>
            </w:r>
            <w:r w:rsidRPr="00E31814">
              <w:rPr>
                <w:rFonts w:cstheme="minorHAnsi"/>
                <w:sz w:val="20"/>
                <w:szCs w:val="20"/>
              </w:rPr>
              <w:t xml:space="preserve">. Polaznici će moći </w:t>
            </w:r>
            <w:r w:rsidR="00843C40" w:rsidRPr="00E31814">
              <w:rPr>
                <w:rFonts w:cstheme="minorHAnsi"/>
                <w:sz w:val="20"/>
                <w:szCs w:val="20"/>
              </w:rPr>
              <w:t xml:space="preserve">pripremiti podatke za izradu financijskih izvještja, izraditi temeljne financijske izvještaje i analizirati ih. </w:t>
            </w:r>
            <w:r w:rsidRPr="00E31814">
              <w:rPr>
                <w:rFonts w:cstheme="minorHAnsi"/>
                <w:sz w:val="20"/>
                <w:szCs w:val="20"/>
              </w:rPr>
              <w:t>Pri obavljanju navedenih aktivnosti polaznici će poštivati standarde u zaštiti i čuvanju povjerljivih podataka u svo</w:t>
            </w:r>
            <w:r w:rsidR="00117E7B" w:rsidRPr="00E31814">
              <w:rPr>
                <w:rFonts w:cstheme="minorHAnsi"/>
                <w:sz w:val="20"/>
                <w:szCs w:val="20"/>
              </w:rPr>
              <w:t>m</w:t>
            </w:r>
            <w:r w:rsidRPr="00E31814">
              <w:rPr>
                <w:rFonts w:cstheme="minorHAnsi"/>
                <w:sz w:val="20"/>
                <w:szCs w:val="20"/>
              </w:rPr>
              <w:t xml:space="preserve"> području rada</w:t>
            </w:r>
            <w:r w:rsidR="00766255">
              <w:rPr>
                <w:rFonts w:cstheme="minorHAnsi"/>
                <w:sz w:val="20"/>
                <w:szCs w:val="20"/>
              </w:rPr>
              <w:t xml:space="preserve"> te poš</w:t>
            </w:r>
            <w:r w:rsidR="00512109">
              <w:rPr>
                <w:rFonts w:cstheme="minorHAnsi"/>
                <w:sz w:val="20"/>
                <w:szCs w:val="20"/>
              </w:rPr>
              <w:t xml:space="preserve">tivati </w:t>
            </w:r>
            <w:r w:rsidR="00766255" w:rsidRPr="00766255">
              <w:rPr>
                <w:rFonts w:cstheme="minorHAnsi"/>
                <w:sz w:val="20"/>
                <w:szCs w:val="20"/>
              </w:rPr>
              <w:t>ergonoms</w:t>
            </w:r>
            <w:r w:rsidR="00512109">
              <w:rPr>
                <w:rFonts w:cstheme="minorHAnsi"/>
                <w:sz w:val="20"/>
                <w:szCs w:val="20"/>
              </w:rPr>
              <w:t>ka</w:t>
            </w:r>
            <w:r w:rsidR="00766255" w:rsidRPr="00766255">
              <w:rPr>
                <w:rFonts w:cstheme="minorHAnsi"/>
                <w:sz w:val="20"/>
                <w:szCs w:val="20"/>
              </w:rPr>
              <w:t xml:space="preserve"> načel</w:t>
            </w:r>
            <w:r w:rsidR="00512109">
              <w:rPr>
                <w:rFonts w:cstheme="minorHAnsi"/>
                <w:sz w:val="20"/>
                <w:szCs w:val="20"/>
              </w:rPr>
              <w:t>a</w:t>
            </w:r>
            <w:r w:rsidR="00766255" w:rsidRPr="00766255">
              <w:rPr>
                <w:rFonts w:cstheme="minorHAnsi"/>
                <w:sz w:val="20"/>
                <w:szCs w:val="20"/>
              </w:rPr>
              <w:t xml:space="preserve"> u uredskom poslovanju</w:t>
            </w:r>
            <w:r w:rsidRPr="00E3181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D184E" w:rsidRPr="00F919E2" w14:paraId="44756A18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A7D98F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37256B7" w14:textId="72C55552" w:rsidR="00BD184E" w:rsidRPr="00723C62" w:rsidRDefault="00D814A7" w:rsidP="00402C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i/>
                <w:iCs/>
                <w:sz w:val="16"/>
                <w:szCs w:val="16"/>
                <w:lang w:val="hr-HR"/>
              </w:rPr>
            </w:pPr>
            <w:r w:rsidRPr="00723C62">
              <w:rPr>
                <w:rFonts w:cstheme="minorBidi"/>
                <w:i/>
                <w:iCs/>
                <w:sz w:val="20"/>
                <w:szCs w:val="20"/>
              </w:rPr>
              <w:t>b</w:t>
            </w:r>
            <w:r w:rsidR="00843C40" w:rsidRPr="00723C62">
              <w:rPr>
                <w:rFonts w:cstheme="minorBidi"/>
                <w:i/>
                <w:iCs/>
                <w:sz w:val="20"/>
                <w:szCs w:val="20"/>
              </w:rPr>
              <w:t>ilanca, račun dobiti i gubitka, izvještaj o novčanom</w:t>
            </w:r>
            <w:r w:rsidRPr="00723C62">
              <w:rPr>
                <w:rFonts w:cstheme="minorBidi"/>
                <w:i/>
                <w:iCs/>
                <w:sz w:val="20"/>
                <w:szCs w:val="20"/>
              </w:rPr>
              <w:t xml:space="preserve"> toku, izvještaj o promjenama kapitala, bilješke </w:t>
            </w:r>
            <w:r w:rsidR="00E31814" w:rsidRPr="00723C62">
              <w:rPr>
                <w:rFonts w:cstheme="minorBidi"/>
                <w:i/>
                <w:iCs/>
                <w:sz w:val="20"/>
                <w:szCs w:val="20"/>
              </w:rPr>
              <w:t>uz financijske izvještaje, analiza financijskih izvještaja</w:t>
            </w:r>
          </w:p>
        </w:tc>
      </w:tr>
      <w:tr w:rsidR="00117E7B" w:rsidRPr="00F919E2" w14:paraId="1FDBE07F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73FCB9" w14:textId="77777777" w:rsidR="00117E7B" w:rsidRPr="00F919E2" w:rsidRDefault="00117E7B" w:rsidP="00117E7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C79BF8" w14:textId="77777777" w:rsidR="00117E7B" w:rsidRDefault="00F140C9" w:rsidP="00402CBF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E31814">
              <w:rPr>
                <w:sz w:val="20"/>
                <w:szCs w:val="20"/>
              </w:rPr>
              <w:t xml:space="preserve">Učenje temeljeno na radu integrirano je u modul kroz simulaciju problemskih zadataka iz poslovnog okruženja i provodi se u specijaliziranim učionicama ustanove i/ili u knjigovodstvenim servisima uz korištenje knjigovodstvenog softvera. Polaznik samostalno na računalu uz korištenje knjigovodstvenog softvera rješava </w:t>
            </w:r>
            <w:r w:rsidR="002C49E5">
              <w:rPr>
                <w:sz w:val="20"/>
                <w:szCs w:val="20"/>
              </w:rPr>
              <w:t>problemske</w:t>
            </w:r>
            <w:r w:rsidRPr="00E31814">
              <w:rPr>
                <w:sz w:val="20"/>
                <w:szCs w:val="20"/>
              </w:rPr>
              <w:t xml:space="preserve"> zadatke</w:t>
            </w:r>
            <w:r w:rsidR="006E61BC">
              <w:rPr>
                <w:sz w:val="20"/>
                <w:szCs w:val="20"/>
              </w:rPr>
              <w:t xml:space="preserve"> (situacijski zadatci)</w:t>
            </w:r>
            <w:r w:rsidRPr="00E31814">
              <w:rPr>
                <w:sz w:val="20"/>
                <w:szCs w:val="20"/>
              </w:rPr>
              <w:t xml:space="preserve"> koji se temelje na primjerima iz poslovne prakse. Nastavnik zadaje stvarnu situaciju, a polaznik koristeći se stečenim znanjem i vještinama, rješava zadani zadatak.</w:t>
            </w:r>
          </w:p>
          <w:p w14:paraId="47A8F150" w14:textId="77777777" w:rsidR="00723C62" w:rsidRPr="00723C62" w:rsidRDefault="00723C62" w:rsidP="00723C62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723C62">
              <w:rPr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61193A3B" w14:textId="373E682C" w:rsidR="00723C62" w:rsidRPr="00723C62" w:rsidRDefault="00723C62" w:rsidP="00723C62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723C62">
              <w:rPr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BD184E" w:rsidRPr="00F919E2" w14:paraId="0A951253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4033AA" w14:textId="77777777" w:rsidR="00BD184E" w:rsidRPr="00F919E2" w:rsidRDefault="00BD184E" w:rsidP="00BD1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86B96AB" w14:textId="77777777" w:rsidR="00BD184E" w:rsidRPr="00211993" w:rsidRDefault="00BD184E" w:rsidP="00BD184E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2373D327" w14:textId="67D4F330" w:rsidR="00577583" w:rsidRDefault="008C497F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Ur</w:t>
            </w:r>
            <w:r w:rsidR="005678C5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 xml:space="preserve"> Gulin, D. (2022)</w:t>
            </w:r>
            <w:r w:rsidR="00187975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Kontni plan poduzetnika s primjerima knjiženja poslovnih događaja poduzetnika. Hrvatska zajednica računovođa i finan</w:t>
            </w:r>
            <w:r w:rsidR="00577583">
              <w:rPr>
                <w:rFonts w:cstheme="minorHAnsi"/>
                <w:bCs/>
                <w:sz w:val="20"/>
                <w:szCs w:val="20"/>
              </w:rPr>
              <w:t xml:space="preserve">cijskih djelatnika. Zagreb. </w:t>
            </w:r>
          </w:p>
          <w:p w14:paraId="32800633" w14:textId="4032EB20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Skupina autora (2021)</w:t>
            </w:r>
            <w:r w:rsidR="00187975">
              <w:rPr>
                <w:rFonts w:cstheme="minorHAnsi"/>
                <w:bCs/>
                <w:sz w:val="20"/>
                <w:szCs w:val="20"/>
              </w:rPr>
              <w:t>.</w:t>
            </w:r>
            <w:r w:rsidRPr="00211993">
              <w:rPr>
                <w:rFonts w:cstheme="minorHAnsi"/>
                <w:bCs/>
                <w:sz w:val="20"/>
                <w:szCs w:val="20"/>
              </w:rPr>
              <w:t xml:space="preserve"> Računovodstvo poduzetnika s primjerima knjiženja, XII. Izmijenjeno i dopunjeno izdanje, RRiF-plus d.o.o.. Zagreb</w:t>
            </w:r>
          </w:p>
          <w:p w14:paraId="747A9177" w14:textId="0A1AF71A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 K., Mamić Sačer I., Sever Mališ S., Ježovita A. i Žager L., (2021)</w:t>
            </w:r>
            <w:r w:rsidR="00187975">
              <w:rPr>
                <w:rFonts w:cstheme="minorHAnsi"/>
                <w:bCs/>
                <w:sz w:val="20"/>
                <w:szCs w:val="20"/>
              </w:rPr>
              <w:t>.</w:t>
            </w:r>
            <w:r w:rsidRPr="00211993">
              <w:rPr>
                <w:rFonts w:cstheme="minorHAnsi"/>
                <w:bCs/>
                <w:sz w:val="20"/>
                <w:szCs w:val="20"/>
              </w:rPr>
              <w:t xml:space="preserve"> Analiza financijskih izvještaja – načela, postupci, slučajevi, peto izdanje. Hrvatska zajednica računovođa i financijskih djelatnika. Zagreb</w:t>
            </w:r>
          </w:p>
          <w:p w14:paraId="1D2B7240" w14:textId="08E963EB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Cirkveni Filipović T. (2020)</w:t>
            </w:r>
            <w:r w:rsidR="00187975">
              <w:rPr>
                <w:rFonts w:cstheme="minorHAnsi"/>
                <w:bCs/>
                <w:sz w:val="20"/>
                <w:szCs w:val="20"/>
              </w:rPr>
              <w:t>.</w:t>
            </w:r>
            <w:r w:rsidRPr="00211993">
              <w:rPr>
                <w:rFonts w:cstheme="minorHAnsi"/>
                <w:bCs/>
                <w:sz w:val="20"/>
                <w:szCs w:val="20"/>
              </w:rPr>
              <w:t xml:space="preserve"> Hrvatski računovodstveni sustav (službeni i pročišćeni tekstovi za Hrvatsku) HSFI, MRS, MSFI i Tumačenja, VIII. izdanje Knjiga III. iz ciklusa: Računovodstvo poduzetnika. Zagreb</w:t>
            </w:r>
          </w:p>
          <w:p w14:paraId="26CACA02" w14:textId="2E8DE8A9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Baica, Z. i Baica, N. (2017)</w:t>
            </w:r>
            <w:r w:rsidR="00187975">
              <w:rPr>
                <w:rFonts w:cstheme="minorHAnsi"/>
                <w:bCs/>
                <w:sz w:val="20"/>
                <w:szCs w:val="20"/>
              </w:rPr>
              <w:t>.</w:t>
            </w:r>
            <w:r w:rsidRPr="00211993">
              <w:rPr>
                <w:rFonts w:cstheme="minorHAnsi"/>
                <w:bCs/>
                <w:sz w:val="20"/>
                <w:szCs w:val="20"/>
              </w:rPr>
              <w:t xml:space="preserve"> Računovodstvo i porezi u praksi: Knjigovodstvo za mikro, male i srednje poduzetnike - primjena HSFI-a - Centar za računovodstvo i financije d.o.o.. Zagreb</w:t>
            </w:r>
          </w:p>
          <w:p w14:paraId="4CB47083" w14:textId="21E335FC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Bičanić, N., Vranar, K., Slovinac, I. i Šarić, M. (2017)</w:t>
            </w:r>
            <w:r w:rsidR="00187975">
              <w:rPr>
                <w:rFonts w:cstheme="minorHAnsi"/>
                <w:bCs/>
                <w:sz w:val="20"/>
                <w:szCs w:val="20"/>
              </w:rPr>
              <w:t>.</w:t>
            </w:r>
            <w:r w:rsidRPr="00211993">
              <w:rPr>
                <w:rFonts w:cstheme="minorHAnsi"/>
                <w:bCs/>
                <w:sz w:val="20"/>
                <w:szCs w:val="20"/>
              </w:rPr>
              <w:t xml:space="preserve"> Popis imovine i obveza: inventura. TEB poslovno savjetovanje. Zagreb</w:t>
            </w:r>
          </w:p>
          <w:p w14:paraId="414D3DDD" w14:textId="5EE8CBF8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Žager, K., Tušek, B., Vašiček V. i Žager L. (2007)</w:t>
            </w:r>
            <w:r w:rsidR="00187975">
              <w:rPr>
                <w:rFonts w:cstheme="minorHAnsi"/>
                <w:bCs/>
                <w:sz w:val="20"/>
                <w:szCs w:val="20"/>
              </w:rPr>
              <w:t>.</w:t>
            </w:r>
            <w:r w:rsidRPr="00211993">
              <w:rPr>
                <w:rFonts w:cstheme="minorHAnsi"/>
                <w:bCs/>
                <w:sz w:val="20"/>
                <w:szCs w:val="20"/>
              </w:rPr>
              <w:t xml:space="preserve"> Osnove računovodstva, računovodstvo za neračunovođe. Rif. Zagreb</w:t>
            </w:r>
          </w:p>
          <w:p w14:paraId="4B4B0CD1" w14:textId="44DAE9CD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Horvat Jurjec, K. (2013)</w:t>
            </w:r>
            <w:r w:rsidR="00187975">
              <w:rPr>
                <w:rFonts w:cstheme="minorHAnsi"/>
                <w:bCs/>
                <w:sz w:val="20"/>
                <w:szCs w:val="20"/>
              </w:rPr>
              <w:t>.</w:t>
            </w:r>
            <w:r w:rsidRPr="00211993">
              <w:rPr>
                <w:rFonts w:cstheme="minorHAnsi"/>
                <w:bCs/>
                <w:sz w:val="20"/>
                <w:szCs w:val="20"/>
              </w:rPr>
              <w:t xml:space="preserve"> Blagajničko poslovanje i fiskalizacija. RRiF-plus d.o.o. za nakladništvo i poslovne usluge. Zagreb</w:t>
            </w:r>
          </w:p>
          <w:p w14:paraId="19379D59" w14:textId="66E52868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računovodstvu (NN 78/15, 134/15, 120/16, 116/18, 42/20, 47/20</w:t>
            </w:r>
            <w:r w:rsidR="00FF0FEE">
              <w:rPr>
                <w:rFonts w:cstheme="minorHAnsi"/>
                <w:bCs/>
                <w:sz w:val="20"/>
                <w:szCs w:val="20"/>
              </w:rPr>
              <w:t>,</w:t>
            </w:r>
            <w:r w:rsidR="00FF0FEE">
              <w:t xml:space="preserve"> </w:t>
            </w:r>
            <w:r w:rsidR="00FF0FEE" w:rsidRPr="00FF0FEE">
              <w:rPr>
                <w:rFonts w:cstheme="minorHAnsi"/>
                <w:bCs/>
                <w:sz w:val="20"/>
                <w:szCs w:val="20"/>
              </w:rPr>
              <w:t>85/24, 145/24</w:t>
            </w:r>
            <w:r w:rsidR="00FF0F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11993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59C16A2" w14:textId="65453266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financijskom poslovanju i računovodstvu neprofitnih organizacija (NN 121/14</w:t>
            </w:r>
            <w:r w:rsidR="00517708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517708" w:rsidRPr="00517708">
              <w:rPr>
                <w:rFonts w:cstheme="minorHAnsi"/>
                <w:bCs/>
                <w:sz w:val="20"/>
                <w:szCs w:val="20"/>
              </w:rPr>
              <w:t>114/22</w:t>
            </w:r>
            <w:r w:rsidRPr="00211993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501CFA46" w14:textId="377E43E8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porezu na dodanu vrijednost (NN 73/13, 99/13, 148/13, 153/13, 143/14, 115/16, 106/18, 121/19, 138/20</w:t>
            </w:r>
            <w:r w:rsidR="00AC3CC6">
              <w:rPr>
                <w:rFonts w:cstheme="minorHAnsi"/>
                <w:bCs/>
                <w:sz w:val="20"/>
                <w:szCs w:val="20"/>
              </w:rPr>
              <w:t>,</w:t>
            </w:r>
            <w:r w:rsidR="00543EB9">
              <w:rPr>
                <w:rFonts w:cstheme="minorHAnsi"/>
                <w:bCs/>
                <w:sz w:val="20"/>
                <w:szCs w:val="20"/>
              </w:rPr>
              <w:t xml:space="preserve"> 39/22, 113/22, 33/23, </w:t>
            </w:r>
            <w:r w:rsidR="003D1098">
              <w:rPr>
                <w:rFonts w:cstheme="minorHAnsi"/>
                <w:bCs/>
                <w:sz w:val="20"/>
                <w:szCs w:val="20"/>
              </w:rPr>
              <w:t>1</w:t>
            </w:r>
            <w:r w:rsidR="00543EB9">
              <w:rPr>
                <w:rFonts w:cstheme="minorHAnsi"/>
                <w:bCs/>
                <w:sz w:val="20"/>
                <w:szCs w:val="20"/>
              </w:rPr>
              <w:t>14/23 35/24</w:t>
            </w:r>
            <w:r w:rsidRPr="00211993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2BA3CD4" w14:textId="2C521D69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fiskalizaciji u prometu gotovinom (NN 133/12, 115/16, 106/18, 121/19, 138/20</w:t>
            </w:r>
            <w:r w:rsidR="00377FBC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0111C">
              <w:rPr>
                <w:rFonts w:cstheme="minorHAnsi"/>
                <w:bCs/>
                <w:sz w:val="20"/>
                <w:szCs w:val="20"/>
              </w:rPr>
              <w:t>114/23</w:t>
            </w:r>
            <w:r w:rsidRPr="00211993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3DBC4BFC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minimalnoj plaći (NN 118/18, 120/21)</w:t>
            </w:r>
          </w:p>
          <w:p w14:paraId="7BBBDA83" w14:textId="0CEE0AD8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doprinosima (NN 84/08, 152/08, 94/09, 18/11, 22/12, 144/12, 148/13, 41/14, 143/14, 115/16, 106/18</w:t>
            </w:r>
            <w:r w:rsidR="0067137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DA3377">
              <w:rPr>
                <w:rFonts w:cstheme="minorHAnsi"/>
                <w:bCs/>
                <w:sz w:val="20"/>
                <w:szCs w:val="20"/>
              </w:rPr>
              <w:t>33/23, 114/23</w:t>
            </w:r>
            <w:r w:rsidRPr="00211993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70BACDDF" w14:textId="77777777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platnom prometu (NN 66/18)</w:t>
            </w:r>
          </w:p>
          <w:p w14:paraId="4978CEA2" w14:textId="3F16DF1A" w:rsidR="00BD184E" w:rsidRPr="00211993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Zakon o sprječavanju pranja novca i financiranja terorizma (NN 108/17, 39/19</w:t>
            </w:r>
            <w:r w:rsidR="00681C93">
              <w:rPr>
                <w:rFonts w:cstheme="minorHAnsi"/>
                <w:bCs/>
                <w:sz w:val="20"/>
                <w:szCs w:val="20"/>
              </w:rPr>
              <w:t>, 151/22</w:t>
            </w:r>
            <w:r w:rsidRPr="00211993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3A9C08F9" w14:textId="238E46C7" w:rsidR="00BD184E" w:rsidRDefault="00BD184E" w:rsidP="00F4624B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1993">
              <w:rPr>
                <w:rFonts w:cstheme="minorHAnsi"/>
                <w:bCs/>
                <w:sz w:val="20"/>
                <w:szCs w:val="20"/>
              </w:rPr>
              <w:t>Naputak o načinu uplaćivanja prihoda proračuna, obveznih doprinosa te prihoda za financiranje drugih javnih potreba u 202</w:t>
            </w:r>
            <w:r w:rsidR="000A6CCE">
              <w:rPr>
                <w:rFonts w:cstheme="minorHAnsi"/>
                <w:bCs/>
                <w:sz w:val="20"/>
                <w:szCs w:val="20"/>
              </w:rPr>
              <w:t>4</w:t>
            </w:r>
            <w:r w:rsidRPr="00211993">
              <w:rPr>
                <w:rFonts w:cstheme="minorHAnsi"/>
                <w:bCs/>
                <w:sz w:val="20"/>
                <w:szCs w:val="20"/>
              </w:rPr>
              <w:t xml:space="preserve">. godini, (NN </w:t>
            </w:r>
            <w:r w:rsidR="00027FCF">
              <w:rPr>
                <w:rFonts w:cstheme="minorHAnsi"/>
                <w:bCs/>
                <w:sz w:val="20"/>
                <w:szCs w:val="20"/>
              </w:rPr>
              <w:t>15</w:t>
            </w:r>
            <w:r w:rsidRPr="00211993">
              <w:rPr>
                <w:rFonts w:cstheme="minorHAnsi"/>
                <w:bCs/>
                <w:sz w:val="20"/>
                <w:szCs w:val="20"/>
              </w:rPr>
              <w:t>/2</w:t>
            </w:r>
            <w:r w:rsidR="00027FCF">
              <w:rPr>
                <w:rFonts w:cstheme="minorHAnsi"/>
                <w:bCs/>
                <w:sz w:val="20"/>
                <w:szCs w:val="20"/>
              </w:rPr>
              <w:t>4</w:t>
            </w:r>
            <w:r w:rsidRPr="00211993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2F79082F" w14:textId="09702BC3" w:rsidR="003444E3" w:rsidRPr="007877BF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Zaštita na radu (2012)</w:t>
            </w:r>
            <w:r w:rsidR="007704DE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Opasnosti kod rada na računalu i pravilne vježbe. Zagreb, dostupno na: </w:t>
            </w:r>
            <w:hyperlink r:id="rId24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513BC6EB" w14:textId="77777777" w:rsidR="003444E3" w:rsidRPr="007877BF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Zakon o zaštiti na radu (NN 71/14, 118/14, 154/14 , 94/18, 96/18)</w:t>
            </w:r>
          </w:p>
          <w:p w14:paraId="7D4B0906" w14:textId="133685F9" w:rsidR="003444E3" w:rsidRPr="007877BF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Ministarstvo rada i mirovinskoga sustava (2015)</w:t>
            </w:r>
            <w:r w:rsidR="007704DE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Osnovne obveze zaštite na radu. Mini vodič za poslovnu zajednicu (online)., dostupno na: </w:t>
            </w:r>
            <w:hyperlink r:id="rId25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https://www.mingo.hr/public/Poduzetnistvo/112-vodic-zastita-na-radu-lowreswebfinal.pdf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2A61B59" w14:textId="035FAF3E" w:rsidR="003444E3" w:rsidRPr="007877BF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Kovač, C., Šijaković, A., Krišto I. i Kovač, H. (2018)</w:t>
            </w:r>
            <w:r w:rsidR="007704DE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Priručnik za praktičan rad povjerenika – radnika za zaštitu na radu (online). Kutjevo: Nezavisni sindikat radnika u proizvodnji hrane i pića (NSRPHP)., dostupno na: </w:t>
            </w:r>
            <w:hyperlink r:id="rId26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https://www.hup.hr/EasyEdit/UserFiles/Ivana%20Zlatari%C4%87/prirucnik-za-praktican-rad.pdf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2522F31" w14:textId="580521F0" w:rsidR="003444E3" w:rsidRPr="003444E3" w:rsidRDefault="003444E3" w:rsidP="00F4624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Europska agencija za sigurnost i zdravlje na radu (2020). Online izvori., dostupno na: </w:t>
            </w:r>
            <w:hyperlink r:id="rId27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https://osha.europa.eu/hr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F11166C" w14:textId="77777777" w:rsidR="00BD184E" w:rsidRPr="00211993" w:rsidRDefault="00BD184E" w:rsidP="00BD184E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D95D82C" w14:textId="52AA95F5" w:rsidR="00BD184E" w:rsidRPr="00211993" w:rsidRDefault="00BD184E" w:rsidP="00BD184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b/>
                <w:bCs/>
                <w:sz w:val="20"/>
                <w:szCs w:val="20"/>
              </w:rPr>
              <w:t>Za realizaciju nastave koristi</w:t>
            </w:r>
            <w:r w:rsidR="00B45345">
              <w:rPr>
                <w:rFonts w:cstheme="minorHAnsi"/>
                <w:b/>
                <w:bCs/>
                <w:sz w:val="20"/>
                <w:szCs w:val="20"/>
              </w:rPr>
              <w:t xml:space="preserve"> se</w:t>
            </w:r>
            <w:r w:rsidRPr="00211993">
              <w:rPr>
                <w:rFonts w:cstheme="minorHAnsi"/>
                <w:sz w:val="20"/>
                <w:szCs w:val="20"/>
              </w:rPr>
              <w:t>:</w:t>
            </w:r>
          </w:p>
          <w:p w14:paraId="071E8109" w14:textId="4997BB20" w:rsidR="00AF2D03" w:rsidRPr="00AF2D03" w:rsidRDefault="00AF2D03" w:rsidP="00F4624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F2D03">
              <w:rPr>
                <w:rFonts w:eastAsia="Calibri" w:cstheme="minorHAnsi"/>
                <w:sz w:val="20"/>
                <w:szCs w:val="20"/>
              </w:rPr>
              <w:t>Knjigovodstveni softver</w:t>
            </w:r>
          </w:p>
          <w:p w14:paraId="4317FEC1" w14:textId="1B1C1F56" w:rsidR="00BD184E" w:rsidRPr="003D0A68" w:rsidRDefault="00906EA1" w:rsidP="00F4624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3D0A68">
              <w:rPr>
                <w:rFonts w:cstheme="minorHAnsi"/>
                <w:sz w:val="20"/>
                <w:szCs w:val="20"/>
              </w:rPr>
              <w:t>Popratna poslovna dokumentacija</w:t>
            </w:r>
          </w:p>
        </w:tc>
      </w:tr>
    </w:tbl>
    <w:p w14:paraId="25FC9BD9" w14:textId="77777777" w:rsidR="002C2EBC" w:rsidRDefault="002C2EBC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5986814" w14:textId="77777777" w:rsidR="00BB7FB1" w:rsidRDefault="00BB7FB1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738CD" w:rsidRPr="00F919E2" w14:paraId="582F3047" w14:textId="77777777" w:rsidTr="007738CD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60F5CC" w14:textId="4E94DF0B" w:rsidR="007738CD" w:rsidRPr="007738CD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4250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239C7" w14:textId="3A6C7E23" w:rsidR="007738CD" w:rsidRPr="00017F53" w:rsidRDefault="0057758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017F5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Pripremanje podataka za sastavljanje godišnjih financijskih izvještaja</w:t>
            </w:r>
            <w:r w:rsidR="00BE1F2A" w:rsidRPr="00017F5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640BCC" w:rsidRPr="00017F5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3 CSVET</w:t>
            </w:r>
          </w:p>
        </w:tc>
      </w:tr>
      <w:tr w:rsidR="007738CD" w:rsidRPr="00F919E2" w14:paraId="54C639DB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5BFB59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77583" w:rsidRPr="00F919E2" w14:paraId="32B2C4DF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A66D0F" w14:textId="3BFB944C" w:rsidR="00577583" w:rsidRPr="004B17E0" w:rsidRDefault="00406C38" w:rsidP="00BB7FB1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406C38">
              <w:rPr>
                <w:sz w:val="20"/>
                <w:szCs w:val="20"/>
              </w:rPr>
              <w:t>Primijeniti zakonske propise vezano za sastavljanje godišnjih financijskih izvještaja za mikro i male poduzetnike</w:t>
            </w:r>
          </w:p>
        </w:tc>
      </w:tr>
      <w:tr w:rsidR="00577583" w:rsidRPr="00F919E2" w14:paraId="5D2FBFDC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37727C" w14:textId="36F49B14" w:rsidR="00577583" w:rsidRPr="004B17E0" w:rsidRDefault="00E426CD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E426CD">
              <w:rPr>
                <w:sz w:val="20"/>
                <w:szCs w:val="20"/>
              </w:rPr>
              <w:t>Usporediti knjigovodstvene evidencije sa stvarnim stanjem nakon provedenog popisa imovine i obveza</w:t>
            </w:r>
          </w:p>
        </w:tc>
      </w:tr>
      <w:tr w:rsidR="00577583" w:rsidRPr="00F919E2" w14:paraId="340446A0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E03956" w14:textId="62B500CB" w:rsidR="00577583" w:rsidRPr="004B17E0" w:rsidRDefault="00EA2116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EA2116">
              <w:rPr>
                <w:sz w:val="20"/>
                <w:szCs w:val="20"/>
              </w:rPr>
              <w:t>Izračunati godišnji obračun poreza na dohodak i ostalih obveza radnika prema državi, općini ili gradu</w:t>
            </w:r>
          </w:p>
        </w:tc>
      </w:tr>
      <w:tr w:rsidR="00577583" w:rsidRPr="00F919E2" w14:paraId="24AEB7C8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162C50" w14:textId="648E3210" w:rsidR="00577583" w:rsidRPr="004B17E0" w:rsidRDefault="00155BEE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155BEE">
              <w:rPr>
                <w:sz w:val="20"/>
                <w:szCs w:val="20"/>
              </w:rPr>
              <w:t>Provesti konačni obračun amortizacije za poslovnu godinu</w:t>
            </w:r>
          </w:p>
        </w:tc>
      </w:tr>
      <w:tr w:rsidR="00577583" w:rsidRPr="00F919E2" w14:paraId="2F23D299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06F64E" w14:textId="0F1022E3" w:rsidR="00577583" w:rsidRPr="422B71D5" w:rsidRDefault="00155BEE" w:rsidP="00F4624B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155BEE">
              <w:rPr>
                <w:sz w:val="20"/>
                <w:szCs w:val="20"/>
              </w:rPr>
              <w:t>Usporediti stanja s poslovnim partnerima, financijskim institucijama i poreznom upravom</w:t>
            </w:r>
          </w:p>
        </w:tc>
      </w:tr>
      <w:tr w:rsidR="00577583" w:rsidRPr="00F919E2" w14:paraId="66CAF0B1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52FD45" w14:textId="452B4934" w:rsidR="00577583" w:rsidRPr="00D87C3D" w:rsidRDefault="00D87C3D" w:rsidP="00D87C3D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D87C3D">
              <w:rPr>
                <w:sz w:val="20"/>
                <w:szCs w:val="20"/>
              </w:rPr>
              <w:t>Izvesti zaključna knjiženja kod izrade završnog računa za mikro i male poduzetnike u aplikacijskom softveru</w:t>
            </w:r>
          </w:p>
        </w:tc>
      </w:tr>
      <w:tr w:rsidR="00577583" w:rsidRPr="00F919E2" w14:paraId="6E3CAC2A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80B216" w14:textId="3C50F293" w:rsidR="00577583" w:rsidRPr="00D87C3D" w:rsidRDefault="00D87C3D" w:rsidP="00D87C3D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D87C3D">
              <w:rPr>
                <w:sz w:val="20"/>
                <w:szCs w:val="20"/>
              </w:rPr>
              <w:t>Napraviti prijavu poreza na dobit, obrazac PD</w:t>
            </w:r>
          </w:p>
        </w:tc>
      </w:tr>
      <w:tr w:rsidR="007738CD" w:rsidRPr="00F919E2" w14:paraId="2293F2D4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CD2867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738CD" w:rsidRPr="00F919E2" w14:paraId="5D54D52F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2D3CD0" w14:textId="4831D164" w:rsidR="00406C38" w:rsidRDefault="00391E6D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78D9">
              <w:rPr>
                <w:rFonts w:cstheme="minorHAnsi"/>
                <w:bCs/>
                <w:sz w:val="20"/>
                <w:szCs w:val="20"/>
              </w:rPr>
              <w:t>Dominant</w:t>
            </w:r>
            <w:r w:rsidR="003E60B9">
              <w:rPr>
                <w:rFonts w:cstheme="minorHAnsi"/>
                <w:bCs/>
                <w:sz w:val="20"/>
                <w:szCs w:val="20"/>
              </w:rPr>
              <w:t xml:space="preserve">an </w:t>
            </w:r>
            <w:r w:rsidRPr="00D878D9">
              <w:rPr>
                <w:rFonts w:cstheme="minorHAnsi"/>
                <w:bCs/>
                <w:sz w:val="20"/>
                <w:szCs w:val="20"/>
              </w:rPr>
              <w:t xml:space="preserve">nastavni </w:t>
            </w:r>
            <w:r w:rsidRPr="00916E96">
              <w:rPr>
                <w:rFonts w:cstheme="minorHAnsi"/>
                <w:bCs/>
                <w:sz w:val="20"/>
                <w:szCs w:val="20"/>
              </w:rPr>
              <w:t>sustav</w:t>
            </w:r>
            <w:r w:rsidR="00870A51">
              <w:rPr>
                <w:rFonts w:cstheme="minorHAnsi"/>
                <w:bCs/>
                <w:sz w:val="20"/>
                <w:szCs w:val="20"/>
              </w:rPr>
              <w:t xml:space="preserve"> je </w:t>
            </w:r>
            <w:r w:rsidRPr="00D878D9">
              <w:rPr>
                <w:rFonts w:cstheme="minorHAnsi"/>
                <w:bCs/>
                <w:sz w:val="20"/>
                <w:szCs w:val="20"/>
              </w:rPr>
              <w:t xml:space="preserve">učenje temeljeno na radu. </w:t>
            </w:r>
          </w:p>
          <w:p w14:paraId="12736784" w14:textId="77777777" w:rsidR="00C27E78" w:rsidRDefault="00395863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78D9">
              <w:rPr>
                <w:rFonts w:cstheme="minorHAnsi"/>
                <w:bCs/>
                <w:sz w:val="20"/>
                <w:szCs w:val="20"/>
              </w:rPr>
              <w:t xml:space="preserve">Tijekom realizacije </w:t>
            </w:r>
            <w:r w:rsidR="00186EFD">
              <w:rPr>
                <w:rFonts w:cstheme="minorHAnsi"/>
                <w:bCs/>
                <w:sz w:val="20"/>
                <w:szCs w:val="20"/>
              </w:rPr>
              <w:t>vođenog procesa učenja i poučavanja,</w:t>
            </w:r>
            <w:r w:rsidRPr="00D878D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A1E7F">
              <w:rPr>
                <w:rFonts w:cstheme="minorHAnsi"/>
                <w:bCs/>
                <w:sz w:val="20"/>
                <w:szCs w:val="20"/>
              </w:rPr>
              <w:t xml:space="preserve">nastavnik </w:t>
            </w:r>
            <w:r w:rsidRPr="00D878D9">
              <w:rPr>
                <w:rFonts w:cstheme="minorHAnsi"/>
                <w:bCs/>
                <w:sz w:val="20"/>
                <w:szCs w:val="20"/>
              </w:rPr>
              <w:t xml:space="preserve">pojašnjava </w:t>
            </w:r>
            <w:r w:rsidR="00FE28E1" w:rsidRPr="00D878D9">
              <w:rPr>
                <w:rFonts w:cstheme="minorHAnsi"/>
                <w:bCs/>
                <w:sz w:val="20"/>
                <w:szCs w:val="20"/>
              </w:rPr>
              <w:t>tijek pripreme podataka za potrebe sastavljanja financijskih izvještaja. Polaznik rješava kraće zadatke u kontroliranim uvjetima u kojima</w:t>
            </w:r>
            <w:r w:rsidR="00B91FE9">
              <w:rPr>
                <w:rFonts w:cstheme="minorHAnsi"/>
                <w:bCs/>
                <w:sz w:val="20"/>
                <w:szCs w:val="20"/>
              </w:rPr>
              <w:t>,</w:t>
            </w:r>
            <w:r w:rsidR="00FE28E1" w:rsidRPr="00D878D9">
              <w:rPr>
                <w:rFonts w:cstheme="minorHAnsi"/>
                <w:bCs/>
                <w:sz w:val="20"/>
                <w:szCs w:val="20"/>
              </w:rPr>
              <w:t xml:space="preserve"> na temelju dobivene dokumentacije vezane uz prove</w:t>
            </w:r>
            <w:r w:rsidR="009C696E" w:rsidRPr="00D878D9">
              <w:rPr>
                <w:rFonts w:cstheme="minorHAnsi"/>
                <w:bCs/>
                <w:sz w:val="20"/>
                <w:szCs w:val="20"/>
              </w:rPr>
              <w:t>de</w:t>
            </w:r>
            <w:r w:rsidR="00FE28E1" w:rsidRPr="00D878D9">
              <w:rPr>
                <w:rFonts w:cstheme="minorHAnsi"/>
                <w:bCs/>
                <w:sz w:val="20"/>
                <w:szCs w:val="20"/>
              </w:rPr>
              <w:t>ni popis imovine i obveza</w:t>
            </w:r>
            <w:r w:rsidR="00B91FE9">
              <w:rPr>
                <w:rFonts w:cstheme="minorHAnsi"/>
                <w:bCs/>
                <w:sz w:val="20"/>
                <w:szCs w:val="20"/>
              </w:rPr>
              <w:t>,</w:t>
            </w:r>
            <w:r w:rsidR="00FE28E1" w:rsidRPr="00D878D9">
              <w:rPr>
                <w:rFonts w:cstheme="minorHAnsi"/>
                <w:bCs/>
                <w:sz w:val="20"/>
                <w:szCs w:val="20"/>
              </w:rPr>
              <w:t xml:space="preserve"> uspoređuje stvarno stanje s knjigovodstvenim i evidentira razlike po popisu u osnovnim i pomoćnim poslovnim knjigama</w:t>
            </w:r>
            <w:r w:rsidR="0040641F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D878D9">
              <w:rPr>
                <w:rFonts w:cstheme="minorHAnsi"/>
                <w:bCs/>
                <w:sz w:val="20"/>
                <w:szCs w:val="20"/>
              </w:rPr>
              <w:t>Polaznik istražuje</w:t>
            </w:r>
            <w:r w:rsidR="00D878D9">
              <w:rPr>
                <w:rFonts w:cstheme="minorHAnsi"/>
                <w:bCs/>
                <w:sz w:val="20"/>
                <w:szCs w:val="20"/>
              </w:rPr>
              <w:t xml:space="preserve"> propise i </w:t>
            </w:r>
            <w:r w:rsidR="00FE28E1" w:rsidRPr="00D878D9">
              <w:rPr>
                <w:rFonts w:cstheme="minorHAnsi"/>
                <w:bCs/>
                <w:sz w:val="20"/>
                <w:szCs w:val="20"/>
              </w:rPr>
              <w:t>elemente prijave poreza na dohodak (obrazac DOH)</w:t>
            </w:r>
            <w:r w:rsidR="00333989">
              <w:rPr>
                <w:rFonts w:cstheme="minorHAnsi"/>
                <w:bCs/>
                <w:sz w:val="20"/>
                <w:szCs w:val="20"/>
              </w:rPr>
              <w:t xml:space="preserve"> nakon čega</w:t>
            </w:r>
            <w:r w:rsidR="009C696E" w:rsidRPr="00D878D9">
              <w:rPr>
                <w:rFonts w:cstheme="minorHAnsi"/>
                <w:bCs/>
                <w:sz w:val="20"/>
                <w:szCs w:val="20"/>
              </w:rPr>
              <w:t xml:space="preserve"> rješava kraće zadatke u kontroliranim uvjetima u kojima ispunjava Prijavu poreza na dohodak (obrazac DOH). Na temelju uputa nastavnika u kontroliranim uvjetima polaznik izračunava amortizaciju, usklađuje evidencije s poslovnim partnerima, knjiži tečajne razlike i kamate te usklađuje salda javnih davanja s evidencijama porezne uprave na dan 31. prosinca. Na samom kraju, na temelju e</w:t>
            </w:r>
            <w:r w:rsidR="00D878D9" w:rsidRPr="00D878D9">
              <w:rPr>
                <w:rFonts w:cstheme="minorHAnsi"/>
                <w:bCs/>
                <w:sz w:val="20"/>
                <w:szCs w:val="20"/>
              </w:rPr>
              <w:t>videntiranih podataka</w:t>
            </w:r>
            <w:r w:rsidR="001C2100">
              <w:rPr>
                <w:rFonts w:cstheme="minorHAnsi"/>
                <w:bCs/>
                <w:sz w:val="20"/>
                <w:szCs w:val="20"/>
              </w:rPr>
              <w:t xml:space="preserve"> o troškovima, prihodima i rashodima</w:t>
            </w:r>
            <w:r w:rsidR="00D878D9" w:rsidRPr="00D878D9">
              <w:rPr>
                <w:rFonts w:cstheme="minorHAnsi"/>
                <w:bCs/>
                <w:sz w:val="20"/>
                <w:szCs w:val="20"/>
              </w:rPr>
              <w:t>, polaznik s</w:t>
            </w:r>
            <w:r w:rsidR="00D878D9">
              <w:rPr>
                <w:rFonts w:cstheme="minorHAnsi"/>
                <w:bCs/>
                <w:sz w:val="20"/>
                <w:szCs w:val="20"/>
              </w:rPr>
              <w:t>a</w:t>
            </w:r>
            <w:r w:rsidR="00D878D9" w:rsidRPr="00D878D9">
              <w:rPr>
                <w:rFonts w:cstheme="minorHAnsi"/>
                <w:bCs/>
                <w:sz w:val="20"/>
                <w:szCs w:val="20"/>
              </w:rPr>
              <w:t>mostalno izrađuje prijavu poreza na dobit i provodi zaključna knjiženja korištenjem knjigovodstvenog softvera čime dokazuje uspješnost realizacije ishoda učenja ovog skupa.</w:t>
            </w:r>
            <w:r w:rsidR="00406B8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1267BAD" w14:textId="0612988F" w:rsidR="00DC5369" w:rsidRDefault="00CA352F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A352F">
              <w:rPr>
                <w:rFonts w:cstheme="minorHAnsi"/>
                <w:bCs/>
                <w:sz w:val="20"/>
                <w:szCs w:val="20"/>
              </w:rPr>
              <w:t xml:space="preserve">Nastavnik </w:t>
            </w:r>
            <w:r>
              <w:rPr>
                <w:rFonts w:cstheme="minorHAnsi"/>
                <w:bCs/>
                <w:sz w:val="20"/>
                <w:szCs w:val="20"/>
              </w:rPr>
              <w:t xml:space="preserve">tijek </w:t>
            </w:r>
            <w:r w:rsidR="000E5F3F">
              <w:rPr>
                <w:rFonts w:cstheme="minorHAnsi"/>
                <w:bCs/>
                <w:sz w:val="20"/>
                <w:szCs w:val="20"/>
              </w:rPr>
              <w:t xml:space="preserve">vođenog procesa učenja i poučavanja kao i učenja temeljenog na radu, </w:t>
            </w:r>
            <w:r w:rsidRPr="00CA352F">
              <w:rPr>
                <w:rFonts w:cstheme="minorHAnsi"/>
                <w:bCs/>
                <w:sz w:val="20"/>
                <w:szCs w:val="20"/>
              </w:rPr>
              <w:t xml:space="preserve">daje </w:t>
            </w:r>
            <w:r w:rsidR="000E5F3F">
              <w:rPr>
                <w:rFonts w:cstheme="minorHAnsi"/>
                <w:bCs/>
                <w:sz w:val="20"/>
                <w:szCs w:val="20"/>
              </w:rPr>
              <w:t xml:space="preserve">polazniku </w:t>
            </w:r>
            <w:r w:rsidRPr="00CA352F">
              <w:rPr>
                <w:rFonts w:cstheme="minorHAnsi"/>
                <w:bCs/>
                <w:sz w:val="20"/>
                <w:szCs w:val="20"/>
              </w:rPr>
              <w:t xml:space="preserve">povratnu informaciju o uspješnosti rješavanja. </w:t>
            </w:r>
          </w:p>
          <w:p w14:paraId="1DB25432" w14:textId="26C726C1" w:rsidR="00FE28E1" w:rsidRPr="00577583" w:rsidRDefault="00406B86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Učenje temeljeno na radu provodi se </w:t>
            </w:r>
            <w:r w:rsidRPr="00406B86">
              <w:rPr>
                <w:rFonts w:cstheme="minorHAnsi"/>
                <w:bCs/>
                <w:sz w:val="20"/>
                <w:szCs w:val="20"/>
              </w:rPr>
              <w:t>u specijaliziranim učionicima i/ili kod poslodavaca (u knjigovodstvenim servisima) s kojim Ustanova ima sklopljeni ugovor o suradnji</w:t>
            </w:r>
            <w:r w:rsidR="00A764CF">
              <w:rPr>
                <w:rFonts w:cstheme="minorHAnsi"/>
                <w:bCs/>
                <w:sz w:val="20"/>
                <w:szCs w:val="20"/>
              </w:rPr>
              <w:t xml:space="preserve"> uz korištenje popratne </w:t>
            </w:r>
            <w:r w:rsidR="00746B12">
              <w:rPr>
                <w:rFonts w:cstheme="minorHAnsi"/>
                <w:bCs/>
                <w:sz w:val="20"/>
                <w:szCs w:val="20"/>
              </w:rPr>
              <w:t xml:space="preserve">poslovne </w:t>
            </w:r>
            <w:r w:rsidR="00A764CF">
              <w:rPr>
                <w:rFonts w:cstheme="minorHAnsi"/>
                <w:bCs/>
                <w:sz w:val="20"/>
                <w:szCs w:val="20"/>
              </w:rPr>
              <w:t>dokumentacije kao i knjigovodstvenog softvera</w:t>
            </w:r>
            <w:r w:rsidRPr="00406B8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738CD" w:rsidRPr="00F919E2" w14:paraId="3493C3F0" w14:textId="77777777" w:rsidTr="00AF483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834FCE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E7AD8" w14:textId="724343CC" w:rsidR="00563AAC" w:rsidRPr="003D0A68" w:rsidRDefault="00563AAC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Prijava poreza na dohodak – obrazac DOH</w:t>
            </w:r>
          </w:p>
          <w:p w14:paraId="1D83EC57" w14:textId="77777777" w:rsidR="00563AAC" w:rsidRPr="003D0A68" w:rsidRDefault="00563AAC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Obračun amortizacije</w:t>
            </w:r>
          </w:p>
          <w:p w14:paraId="07C8FD5F" w14:textId="77777777" w:rsidR="00563AAC" w:rsidRPr="003D0A68" w:rsidRDefault="00563AAC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Zaključna knjiženja u poslovnim knjigama</w:t>
            </w:r>
          </w:p>
          <w:p w14:paraId="2968CD2B" w14:textId="79499991" w:rsidR="007738CD" w:rsidRPr="00563AAC" w:rsidRDefault="00563A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01070D">
              <w:rPr>
                <w:rFonts w:cstheme="minorHAnsi"/>
                <w:bCs/>
                <w:i/>
                <w:iCs/>
                <w:sz w:val="20"/>
                <w:szCs w:val="20"/>
              </w:rPr>
              <w:t>Prijava poreza na dobit – obrazac PD</w:t>
            </w:r>
            <w:r w:rsidR="007738CD" w:rsidRPr="00563AA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7738CD" w:rsidRPr="00F919E2" w14:paraId="1402064A" w14:textId="77777777" w:rsidTr="00AF483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D09572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7738CD" w:rsidRPr="00F919E2" w14:paraId="19389A0E" w14:textId="77777777">
        <w:trPr>
          <w:trHeight w:val="7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D908DB" w14:textId="77777777" w:rsidR="003E60B9" w:rsidRPr="003E60B9" w:rsidRDefault="003E60B9" w:rsidP="003E60B9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E60B9">
              <w:rPr>
                <w:rFonts w:cstheme="minorHAnsi"/>
                <w:iCs/>
                <w:sz w:val="20"/>
                <w:szCs w:val="20"/>
                <w:lang w:val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4070CC1E" w14:textId="65356A43" w:rsidR="003E60B9" w:rsidRPr="003E60B9" w:rsidRDefault="003E60B9" w:rsidP="003E60B9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E60B9">
              <w:rPr>
                <w:rFonts w:cstheme="minorHAnsi"/>
                <w:iCs/>
                <w:sz w:val="20"/>
                <w:szCs w:val="20"/>
                <w:lang w:val="hr-HR"/>
              </w:rPr>
              <w:lastRenderedPageBreak/>
              <w:t>Primjeri vrednovanja:</w:t>
            </w:r>
          </w:p>
          <w:p w14:paraId="1E75BE84" w14:textId="6FE1B1D9" w:rsidR="00215EF1" w:rsidRDefault="00215EF1" w:rsidP="00111AF6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215EF1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Situacijski scenarij poučavanja</w:t>
            </w:r>
          </w:p>
          <w:p w14:paraId="0CB93DFE" w14:textId="574D2B99" w:rsidR="00215EF1" w:rsidRPr="00215EF1" w:rsidRDefault="00EC01D7" w:rsidP="00111AF6">
            <w:pPr>
              <w:tabs>
                <w:tab w:val="left" w:pos="2820"/>
              </w:tabs>
              <w:spacing w:after="120" w:line="24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Kraj poslovne godine</w:t>
            </w:r>
          </w:p>
          <w:p w14:paraId="0D967420" w14:textId="77777777" w:rsidR="00EC01D7" w:rsidRDefault="00577583" w:rsidP="00F4624B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 xml:space="preserve">Polaznik na temelju obavljenog popisa imovine i obveza uspoređuje stvarno stanje s knjigovodstvenim i evidentira razlike po popisu u osnovnim i pomoćnim poslovnim knjigama. </w:t>
            </w:r>
          </w:p>
          <w:p w14:paraId="5352F665" w14:textId="77777777" w:rsidR="00EC01D7" w:rsidRDefault="00577583" w:rsidP="00F4624B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 xml:space="preserve">Za svakog zaposlenika izračunava godišnji obračun poreza na dohodak i prireza porezu na dohodak te na temelju obračuna obavlja uplatu/isplatu. Na temelju podataka iz analitičkih evidencija dugotrajne imovine, a u skladu sa zakonskim propisima izrađuje godišnji obračun amortizacije dugotrajne nematerijalne i materijalne imovine. </w:t>
            </w:r>
          </w:p>
          <w:p w14:paraId="3F7E46C8" w14:textId="5FF19E4E" w:rsidR="00577583" w:rsidRPr="00EC01D7" w:rsidRDefault="00577583" w:rsidP="00F4624B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>Na temelju primljenih podataka usklađuje evidencije s poslovnim partnerima, knjiži tečajne razlike i kamate te usklađuje salda javnih davanja s evidencijama porezne uprave na dan 31. prosinca</w:t>
            </w:r>
            <w:r w:rsidR="00E10880" w:rsidRPr="00EC01D7">
              <w:rPr>
                <w:rFonts w:cstheme="minorHAnsi"/>
                <w:iCs/>
                <w:sz w:val="20"/>
                <w:szCs w:val="20"/>
              </w:rPr>
              <w:t>.</w:t>
            </w:r>
            <w:r w:rsidRPr="00EC01D7">
              <w:rPr>
                <w:rFonts w:cstheme="minorHAnsi"/>
                <w:iCs/>
                <w:sz w:val="20"/>
                <w:szCs w:val="20"/>
              </w:rPr>
              <w:t xml:space="preserve"> Polaznik provodi zaključna knjiženja</w:t>
            </w:r>
            <w:r w:rsidR="00FE28E1" w:rsidRPr="00EC01D7">
              <w:rPr>
                <w:rFonts w:cstheme="minorHAnsi"/>
                <w:iCs/>
                <w:sz w:val="20"/>
                <w:szCs w:val="20"/>
              </w:rPr>
              <w:t xml:space="preserve"> u knjigovodstvenom softveru</w:t>
            </w:r>
            <w:r w:rsidRPr="00EC01D7">
              <w:rPr>
                <w:rFonts w:cstheme="minorHAnsi"/>
                <w:iCs/>
                <w:sz w:val="20"/>
                <w:szCs w:val="20"/>
              </w:rPr>
              <w:t xml:space="preserve"> i izrađuje prijavu poreza na dobi</w:t>
            </w:r>
            <w:r w:rsidR="00FE28E1" w:rsidRPr="00EC01D7">
              <w:rPr>
                <w:rFonts w:cstheme="minorHAnsi"/>
                <w:iCs/>
                <w:sz w:val="20"/>
                <w:szCs w:val="20"/>
              </w:rPr>
              <w:t xml:space="preserve">t. </w:t>
            </w:r>
          </w:p>
          <w:p w14:paraId="5741FA9F" w14:textId="34D41CEA" w:rsidR="007738CD" w:rsidRPr="00EC01D7" w:rsidRDefault="0089765C" w:rsidP="004A217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z w:val="20"/>
                <w:szCs w:val="20"/>
              </w:rPr>
              <w:t>Vrednovanje:</w:t>
            </w:r>
            <w:r>
              <w:rPr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7738CD" w:rsidRPr="00F919E2" w14:paraId="1E637232" w14:textId="77777777" w:rsidTr="00F502D1">
        <w:trPr>
          <w:trHeight w:val="475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7ABAF7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738CD" w:rsidRPr="00F919E2" w14:paraId="5E0D708C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20A12F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6D46AAE" w14:textId="77777777" w:rsidR="007738CD" w:rsidRPr="00F919E2" w:rsidRDefault="007738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75AB77A" w14:textId="77777777" w:rsidR="0090151D" w:rsidRDefault="0090151D" w:rsidP="00DF363E">
      <w:pPr>
        <w:spacing w:after="0"/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8B49DF" w:rsidRPr="00F919E2" w14:paraId="4B5C69A3" w14:textId="7777777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C14F51" w14:textId="01340C79" w:rsidR="008B49DF" w:rsidRPr="00F919E2" w:rsidRDefault="0090151D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lang w:val="hr-HR"/>
              </w:rPr>
              <w:br w:type="page"/>
            </w:r>
            <w:r w:rsidR="008B49DF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</w:t>
            </w:r>
            <w:r w:rsidR="006961D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E0CC7DD" w14:textId="30BABBCF" w:rsidR="008B49DF" w:rsidRPr="00017F53" w:rsidRDefault="00577583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017F5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Sastavljanje godišnjih financijskih izvještaja</w:t>
            </w:r>
            <w:r w:rsidR="006961D7" w:rsidRPr="00017F5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8B49DF" w:rsidRPr="00F919E2" w14:paraId="3D175CAC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4D71E6" w14:textId="77777777" w:rsidR="008B49DF" w:rsidRPr="00F919E2" w:rsidRDefault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77583" w:rsidRPr="00F919E2" w14:paraId="0BE5B7B1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4AFD56" w14:textId="426FFE23" w:rsidR="00577583" w:rsidRPr="001C2100" w:rsidRDefault="00577583" w:rsidP="00BB7FB1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Primijeniti zakonske propise vezano za sastavljanje godišnjih financijskih izvještaja za mikro i male poduzetnike</w:t>
            </w:r>
          </w:p>
        </w:tc>
      </w:tr>
      <w:tr w:rsidR="00577583" w:rsidRPr="00F919E2" w14:paraId="460FA8A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C4C6EA" w14:textId="5D755663" w:rsidR="00577583" w:rsidRPr="001C2100" w:rsidRDefault="00577583" w:rsidP="00F4624B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Napraviti bilancu i račun dobiti i gubitka za mikro i male poduzetnike</w:t>
            </w:r>
          </w:p>
        </w:tc>
      </w:tr>
      <w:tr w:rsidR="00577583" w:rsidRPr="00F919E2" w14:paraId="17690C8F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C681A9" w14:textId="797FED5A" w:rsidR="00577583" w:rsidRPr="001C2100" w:rsidRDefault="00577583" w:rsidP="00F4624B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Sastaviti bilješke uz financijske izvještaje za mikro i male poduzetnike</w:t>
            </w:r>
          </w:p>
        </w:tc>
      </w:tr>
      <w:tr w:rsidR="00577583" w:rsidRPr="00F919E2" w14:paraId="6D26B49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138D76" w14:textId="7FCF2AAE" w:rsidR="00577583" w:rsidRPr="001C2100" w:rsidRDefault="00577583" w:rsidP="00F4624B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Pripremiti podatke za izradu izvještaja o promjeni kapitala</w:t>
            </w:r>
          </w:p>
        </w:tc>
      </w:tr>
      <w:tr w:rsidR="00577583" w:rsidRPr="00F919E2" w14:paraId="580F0742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724D5F" w14:textId="74ABF402" w:rsidR="00577583" w:rsidRPr="001C2100" w:rsidRDefault="00577583" w:rsidP="00F4624B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C2100">
              <w:rPr>
                <w:rFonts w:ascii="Calibri" w:hAnsi="Calibri" w:cs="Calibri"/>
                <w:sz w:val="20"/>
                <w:szCs w:val="20"/>
              </w:rPr>
              <w:t>Sastaviti izvještaj o promjeni kapitala</w:t>
            </w:r>
          </w:p>
        </w:tc>
      </w:tr>
      <w:tr w:rsidR="008B49DF" w:rsidRPr="00F919E2" w14:paraId="532DE232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EB0510" w14:textId="77777777" w:rsidR="008B49DF" w:rsidRPr="00F919E2" w:rsidRDefault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B49DF" w:rsidRPr="00F919E2" w14:paraId="7C8EC887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72BA44" w14:textId="2257B8A4" w:rsidR="006D30ED" w:rsidRDefault="00F06E65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C54FA">
              <w:rPr>
                <w:rFonts w:cstheme="minorHAnsi"/>
                <w:bCs/>
                <w:sz w:val="20"/>
                <w:szCs w:val="20"/>
              </w:rPr>
              <w:t>Dominant</w:t>
            </w:r>
            <w:r w:rsidR="003E60B9">
              <w:rPr>
                <w:rFonts w:cstheme="minorHAnsi"/>
                <w:bCs/>
                <w:sz w:val="20"/>
                <w:szCs w:val="20"/>
              </w:rPr>
              <w:t>an</w:t>
            </w:r>
            <w:r w:rsidRPr="00DC54FA">
              <w:rPr>
                <w:rFonts w:cstheme="minorHAnsi"/>
                <w:bCs/>
                <w:sz w:val="20"/>
                <w:szCs w:val="20"/>
              </w:rPr>
              <w:t xml:space="preserve"> nastavni sustav</w:t>
            </w:r>
            <w:r w:rsidR="00870A51">
              <w:rPr>
                <w:rFonts w:cstheme="minorHAnsi"/>
                <w:bCs/>
                <w:sz w:val="20"/>
                <w:szCs w:val="20"/>
              </w:rPr>
              <w:t xml:space="preserve"> je </w:t>
            </w:r>
            <w:r w:rsidRPr="00DC54FA">
              <w:rPr>
                <w:rFonts w:cstheme="minorHAnsi"/>
                <w:bCs/>
                <w:sz w:val="20"/>
                <w:szCs w:val="20"/>
              </w:rPr>
              <w:t xml:space="preserve">učenje temeljeno na radu. </w:t>
            </w:r>
          </w:p>
          <w:p w14:paraId="72DF9712" w14:textId="77777777" w:rsidR="00ED4F4F" w:rsidRDefault="00F06E65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C54FA">
              <w:rPr>
                <w:rFonts w:cstheme="minorHAnsi"/>
                <w:bCs/>
                <w:sz w:val="20"/>
                <w:szCs w:val="20"/>
              </w:rPr>
              <w:t xml:space="preserve">Polaznik istražuje </w:t>
            </w:r>
            <w:r w:rsidR="00DC54FA" w:rsidRPr="00DC54FA">
              <w:rPr>
                <w:rFonts w:cstheme="minorHAnsi"/>
                <w:bCs/>
                <w:sz w:val="20"/>
                <w:szCs w:val="20"/>
              </w:rPr>
              <w:t xml:space="preserve">temeljne financijske izvještaje za mikro i male poduzetnike. </w:t>
            </w:r>
            <w:r w:rsidR="00EA1ABA">
              <w:rPr>
                <w:rFonts w:cstheme="minorHAnsi"/>
                <w:bCs/>
                <w:sz w:val="20"/>
                <w:szCs w:val="20"/>
              </w:rPr>
              <w:t xml:space="preserve">Nakon </w:t>
            </w:r>
            <w:r w:rsidR="00642916">
              <w:rPr>
                <w:rFonts w:cstheme="minorHAnsi"/>
                <w:bCs/>
                <w:sz w:val="20"/>
                <w:szCs w:val="20"/>
              </w:rPr>
              <w:t>čega</w:t>
            </w:r>
            <w:r w:rsidRPr="00DC54FA">
              <w:rPr>
                <w:rFonts w:cstheme="minorHAnsi"/>
                <w:bCs/>
                <w:sz w:val="20"/>
                <w:szCs w:val="20"/>
              </w:rPr>
              <w:t xml:space="preserve"> rješava kraće zadatke u kontroliranim</w:t>
            </w:r>
            <w:r w:rsidR="000D54B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92AF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26DED">
              <w:rPr>
                <w:rFonts w:cstheme="minorHAnsi"/>
                <w:bCs/>
                <w:sz w:val="20"/>
                <w:szCs w:val="20"/>
              </w:rPr>
              <w:t xml:space="preserve">uvjetima </w:t>
            </w:r>
            <w:r w:rsidRPr="00DC54FA">
              <w:rPr>
                <w:rFonts w:cstheme="minorHAnsi"/>
                <w:bCs/>
                <w:sz w:val="20"/>
                <w:szCs w:val="20"/>
              </w:rPr>
              <w:t xml:space="preserve">u kojima na temelju </w:t>
            </w:r>
            <w:r w:rsidR="00DC54FA" w:rsidRPr="00DC54FA">
              <w:rPr>
                <w:rFonts w:cstheme="minorHAnsi"/>
                <w:bCs/>
                <w:sz w:val="20"/>
                <w:szCs w:val="20"/>
              </w:rPr>
              <w:t>bruto bilance izrađuje temeljne financijske izvještaje u programu za proračunske tablice korištenjem obrasca GFI-POD</w:t>
            </w:r>
            <w:r w:rsidRPr="00DC54F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583C9C" w:rsidRPr="00DC54FA">
              <w:rPr>
                <w:rFonts w:cstheme="minorHAnsi"/>
                <w:bCs/>
                <w:sz w:val="20"/>
                <w:szCs w:val="20"/>
              </w:rPr>
              <w:t xml:space="preserve">Na samom kraju, polaznik </w:t>
            </w:r>
            <w:r w:rsidR="00A73B1F">
              <w:rPr>
                <w:rFonts w:cstheme="minorHAnsi"/>
                <w:bCs/>
                <w:sz w:val="20"/>
                <w:szCs w:val="20"/>
              </w:rPr>
              <w:t>u</w:t>
            </w:r>
            <w:r w:rsidR="00A73B1F" w:rsidRPr="00A73B1F">
              <w:rPr>
                <w:rFonts w:cstheme="minorHAnsi"/>
                <w:bCs/>
                <w:sz w:val="20"/>
                <w:szCs w:val="20"/>
              </w:rPr>
              <w:t xml:space="preserve"> simuliranim uvjetima (ili u knjigovodstvenom servisu</w:t>
            </w:r>
            <w:r w:rsidR="00A73B1F">
              <w:rPr>
                <w:rFonts w:cstheme="minorHAnsi"/>
                <w:bCs/>
                <w:sz w:val="20"/>
                <w:szCs w:val="20"/>
              </w:rPr>
              <w:t>)</w:t>
            </w:r>
            <w:r w:rsidR="00A73B1F" w:rsidRPr="00A73B1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83C9C" w:rsidRPr="00DC54FA">
              <w:rPr>
                <w:rFonts w:cstheme="minorHAnsi"/>
                <w:bCs/>
                <w:sz w:val="20"/>
                <w:szCs w:val="20"/>
              </w:rPr>
              <w:t xml:space="preserve">samostalno </w:t>
            </w:r>
            <w:r w:rsidR="00283198" w:rsidRPr="00DC54FA">
              <w:rPr>
                <w:rFonts w:cstheme="minorHAnsi"/>
                <w:bCs/>
                <w:sz w:val="20"/>
                <w:szCs w:val="20"/>
              </w:rPr>
              <w:t xml:space="preserve">na temelju </w:t>
            </w:r>
            <w:r w:rsidR="00DC54FA" w:rsidRPr="00DC54FA">
              <w:rPr>
                <w:rFonts w:cstheme="minorHAnsi"/>
                <w:bCs/>
                <w:sz w:val="20"/>
                <w:szCs w:val="20"/>
              </w:rPr>
              <w:t xml:space="preserve">bruto bilance izrađuje bilancu, račun dobiti i gubitka i bilješke uz financijske izvještaje korištenjem obrasca GFI-POD </w:t>
            </w:r>
            <w:r w:rsidR="00C2385A" w:rsidRPr="00DC54F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83C9C" w:rsidRPr="00DC54FA">
              <w:rPr>
                <w:rFonts w:cstheme="minorHAnsi"/>
                <w:bCs/>
                <w:sz w:val="20"/>
                <w:szCs w:val="20"/>
              </w:rPr>
              <w:t>čime dokazuje uspješnost realizacije ishoda učenja ovog skupa</w:t>
            </w:r>
            <w:r w:rsidR="00535B67">
              <w:rPr>
                <w:rFonts w:cstheme="minorHAnsi"/>
                <w:bCs/>
                <w:sz w:val="20"/>
                <w:szCs w:val="20"/>
              </w:rPr>
              <w:t xml:space="preserve"> a sve vodeći se </w:t>
            </w:r>
            <w:r w:rsidR="00E1622D" w:rsidRPr="00E1622D">
              <w:rPr>
                <w:rFonts w:cstheme="minorHAnsi"/>
                <w:bCs/>
                <w:sz w:val="20"/>
                <w:szCs w:val="20"/>
              </w:rPr>
              <w:t>ergonomskim načelima u uredskom poslovanju</w:t>
            </w:r>
            <w:r w:rsidR="00535B67">
              <w:rPr>
                <w:rFonts w:cstheme="minorHAnsi"/>
                <w:bCs/>
                <w:sz w:val="20"/>
                <w:szCs w:val="20"/>
              </w:rPr>
              <w:t>.</w:t>
            </w:r>
            <w:r w:rsidR="00DC536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E0D0955" w14:textId="44575A7D" w:rsidR="00ED4F4F" w:rsidRDefault="00ED4F4F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D4F4F">
              <w:rPr>
                <w:rFonts w:cstheme="minorHAnsi"/>
                <w:bCs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200A1B05" w14:textId="06B377F1" w:rsidR="00DC5369" w:rsidRDefault="00DC5369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C5369">
              <w:rPr>
                <w:rFonts w:cstheme="minorHAnsi"/>
                <w:bCs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05A0955D" w14:textId="7D22453D" w:rsidR="009B28FF" w:rsidRPr="004D5278" w:rsidRDefault="00DC5369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C5369">
              <w:rPr>
                <w:rFonts w:cstheme="minorHAnsi"/>
                <w:bCs/>
                <w:sz w:val="20"/>
                <w:szCs w:val="20"/>
              </w:rPr>
              <w:lastRenderedPageBreak/>
              <w:t>Učenje temeljeno na radu provodi se u specijaliziranim učionicima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8B49DF" w:rsidRPr="00F919E2" w14:paraId="1BCFDC53" w14:textId="7777777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AFE8A5" w14:textId="77777777" w:rsidR="008B49DF" w:rsidRPr="00DC54FA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C54F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1DB33" w14:textId="77777777" w:rsidR="008B49DF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Bilanca</w:t>
            </w:r>
          </w:p>
          <w:p w14:paraId="48F4C567" w14:textId="560AD9E5" w:rsidR="003D58A0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Račun dobiti i gubitka</w:t>
            </w:r>
          </w:p>
          <w:p w14:paraId="795617B4" w14:textId="05466CAF" w:rsidR="003D58A0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Izvještaj o promjeni kapitala</w:t>
            </w:r>
          </w:p>
          <w:p w14:paraId="79C4247A" w14:textId="24960760" w:rsidR="003D58A0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Izvještaj o novčanom toku</w:t>
            </w:r>
          </w:p>
          <w:p w14:paraId="1ADA189B" w14:textId="77777777" w:rsidR="003D58A0" w:rsidRPr="003D0A68" w:rsidRDefault="003D58A0" w:rsidP="008B49D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Bilješke uz financijske izvještaje</w:t>
            </w:r>
          </w:p>
          <w:p w14:paraId="71852456" w14:textId="7BEF0DA3" w:rsidR="00D51E79" w:rsidRPr="00DC54FA" w:rsidRDefault="00D51E79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3D0A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Ergonomska načela u uredskom poslovanju</w:t>
            </w:r>
          </w:p>
        </w:tc>
      </w:tr>
      <w:tr w:rsidR="008B49DF" w:rsidRPr="00F919E2" w14:paraId="1E4C22D6" w14:textId="7777777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4410FB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8B49DF" w:rsidRPr="00F919E2" w14:paraId="7F775D71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E4DDD5" w14:textId="77777777" w:rsidR="003E60B9" w:rsidRPr="003E60B9" w:rsidRDefault="003E60B9" w:rsidP="003E60B9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E60B9">
              <w:rPr>
                <w:rFonts w:cstheme="minorHAnsi"/>
                <w:iCs/>
                <w:sz w:val="20"/>
                <w:szCs w:val="20"/>
                <w:lang w:val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63F1B32" w14:textId="6D1F16FB" w:rsidR="003E60B9" w:rsidRPr="003E60B9" w:rsidRDefault="003E60B9" w:rsidP="003E60B9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E60B9">
              <w:rPr>
                <w:rFonts w:cstheme="minorHAnsi"/>
                <w:iCs/>
                <w:sz w:val="20"/>
                <w:szCs w:val="20"/>
                <w:lang w:val="hr-HR"/>
              </w:rPr>
              <w:t>Primjeri vrednovanja:</w:t>
            </w:r>
          </w:p>
          <w:p w14:paraId="3182BEAD" w14:textId="1A533C5A" w:rsidR="00EC01D7" w:rsidRDefault="00EC01D7" w:rsidP="00111AF6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EC01D7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Situacijski scenarij poučavanja</w:t>
            </w:r>
          </w:p>
          <w:p w14:paraId="372A0006" w14:textId="1ED9DB24" w:rsidR="00EC01D7" w:rsidRPr="00EC01D7" w:rsidRDefault="00EC01D7" w:rsidP="00111AF6">
            <w:pPr>
              <w:tabs>
                <w:tab w:val="left" w:pos="2820"/>
              </w:tabs>
              <w:spacing w:after="120" w:line="24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Svi naši izvještaji</w:t>
            </w:r>
          </w:p>
          <w:p w14:paraId="24D78D32" w14:textId="77777777" w:rsidR="00EC01D7" w:rsidRDefault="00577583" w:rsidP="00F4624B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>Polaznik na temelju bruto bilance izrađuje bilancu i račun dobiti i gubitka za mikro i male poduzetnike.</w:t>
            </w:r>
          </w:p>
          <w:p w14:paraId="367F0B93" w14:textId="20F3F2F2" w:rsidR="00EC01D7" w:rsidRDefault="00577583" w:rsidP="00F4624B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 xml:space="preserve">Podatke u izrađenim izvještajima pojašnjava u bilješkama uz financijske izvještaje. </w:t>
            </w:r>
            <w:r w:rsidR="00BB7FB1">
              <w:rPr>
                <w:rFonts w:cstheme="minorHAnsi"/>
                <w:iCs/>
                <w:sz w:val="20"/>
                <w:szCs w:val="20"/>
              </w:rPr>
              <w:t>Ako</w:t>
            </w:r>
            <w:r w:rsidRPr="00EC01D7">
              <w:rPr>
                <w:rFonts w:cstheme="minorHAnsi"/>
                <w:iCs/>
                <w:sz w:val="20"/>
                <w:szCs w:val="20"/>
              </w:rPr>
              <w:t xml:space="preserve"> je došlo do promjene vlasničke strukture, polaznik priprema podatke za izradu izvještaja o promjeni kapitala i izrađuje ga. </w:t>
            </w:r>
          </w:p>
          <w:p w14:paraId="7D35270F" w14:textId="7C507AAC" w:rsidR="003D58A0" w:rsidRPr="00EC01D7" w:rsidRDefault="00577583" w:rsidP="00F4624B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 xml:space="preserve">Izrađenu bilancu, račun dobiti i gubitka, bilješke uz financijske izvještaje te izvještaj o promjeni kapitala u programu za proračunske tablice pohranjuje u e-portfolio. </w:t>
            </w:r>
          </w:p>
          <w:p w14:paraId="1E1DFCC9" w14:textId="1624D99F" w:rsidR="008B49DF" w:rsidRPr="0089765C" w:rsidRDefault="0089765C" w:rsidP="004A217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noProof/>
                <w:sz w:val="20"/>
                <w:szCs w:val="20"/>
              </w:rPr>
              <w:t>Vrednovanje:</w:t>
            </w:r>
            <w:r>
              <w:rPr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8B49DF" w:rsidRPr="00F919E2" w14:paraId="7F38B71E" w14:textId="77777777">
        <w:trPr>
          <w:trHeight w:val="44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48C19F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B49DF" w:rsidRPr="00F919E2" w14:paraId="0C03CBA2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D5E93E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261C65D" w14:textId="77777777" w:rsidR="008B49DF" w:rsidRPr="00F919E2" w:rsidRDefault="008B49DF" w:rsidP="008B49D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B616F7A" w14:textId="77777777" w:rsidR="0090151D" w:rsidRPr="00F919E2" w:rsidRDefault="0090151D" w:rsidP="00DF363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5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41"/>
        <w:gridCol w:w="6816"/>
      </w:tblGrid>
      <w:tr w:rsidR="00AE48B3" w:rsidRPr="00F919E2" w14:paraId="040B2A54" w14:textId="77777777" w:rsidTr="0090151D">
        <w:trPr>
          <w:trHeight w:val="409"/>
        </w:trPr>
        <w:tc>
          <w:tcPr>
            <w:tcW w:w="2692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79E257" w14:textId="73CDB9A3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</w:t>
            </w:r>
            <w:r w:rsidR="00280A3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 SK, obujam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4AED1353" w14:textId="53C0DEE5" w:rsidR="00AE48B3" w:rsidRPr="00017F53" w:rsidRDefault="0057758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017F53">
              <w:rPr>
                <w:rFonts w:cstheme="minorHAnsi"/>
                <w:b/>
                <w:bCs/>
                <w:iCs/>
                <w:sz w:val="20"/>
                <w:szCs w:val="20"/>
              </w:rPr>
              <w:t>Temeljni financijski izvještaji</w:t>
            </w:r>
            <w:r w:rsidR="00280A35" w:rsidRPr="00017F53">
              <w:rPr>
                <w:rFonts w:cstheme="minorHAnsi"/>
                <w:b/>
                <w:bCs/>
                <w:iCs/>
                <w:sz w:val="20"/>
                <w:szCs w:val="20"/>
              </w:rPr>
              <w:t>, 2 CSVET</w:t>
            </w:r>
          </w:p>
        </w:tc>
      </w:tr>
      <w:tr w:rsidR="00AE48B3" w:rsidRPr="00F919E2" w14:paraId="72D0BA08" w14:textId="77777777" w:rsidTr="0090151D">
        <w:tc>
          <w:tcPr>
            <w:tcW w:w="9508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637D75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77583" w:rsidRPr="00F919E2" w14:paraId="0F02A04D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7DBE84" w14:textId="3402688A" w:rsidR="00577583" w:rsidRPr="00111EBB" w:rsidRDefault="00577583" w:rsidP="00F4624B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11EBB">
              <w:rPr>
                <w:rFonts w:ascii="Calibri" w:hAnsi="Calibri" w:cs="Calibri"/>
                <w:sz w:val="20"/>
                <w:szCs w:val="20"/>
              </w:rPr>
              <w:t>Analizirati bilancu trgovačkog društva</w:t>
            </w:r>
          </w:p>
        </w:tc>
      </w:tr>
      <w:tr w:rsidR="00577583" w:rsidRPr="00F919E2" w14:paraId="28BECD32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CC7559" w14:textId="212D8223" w:rsidR="00577583" w:rsidRPr="00111EBB" w:rsidRDefault="00577583" w:rsidP="00F4624B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11EBB">
              <w:rPr>
                <w:rFonts w:ascii="Calibri" w:hAnsi="Calibri" w:cs="Calibri"/>
                <w:sz w:val="20"/>
                <w:szCs w:val="20"/>
              </w:rPr>
              <w:t>Sastaviti račun dobiti i gubitka</w:t>
            </w:r>
          </w:p>
        </w:tc>
      </w:tr>
      <w:tr w:rsidR="00577583" w:rsidRPr="00F919E2" w14:paraId="4310B766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D2C65D" w14:textId="405C4CE7" w:rsidR="00577583" w:rsidRPr="00111EBB" w:rsidRDefault="00577583" w:rsidP="00F4624B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11EBB">
              <w:rPr>
                <w:rFonts w:ascii="Calibri" w:hAnsi="Calibri" w:cs="Calibri"/>
                <w:sz w:val="20"/>
                <w:szCs w:val="20"/>
              </w:rPr>
              <w:t>Napraviti izvještaj o novčanom toku prema direktnoj metodi</w:t>
            </w:r>
          </w:p>
        </w:tc>
      </w:tr>
      <w:tr w:rsidR="00577583" w:rsidRPr="00F919E2" w14:paraId="03B16480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CAAF3C" w14:textId="6538E715" w:rsidR="00577583" w:rsidRPr="00111EBB" w:rsidRDefault="00577583" w:rsidP="00F4624B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111EBB">
              <w:rPr>
                <w:rFonts w:ascii="Calibri" w:hAnsi="Calibri" w:cs="Calibri"/>
                <w:sz w:val="20"/>
                <w:szCs w:val="20"/>
              </w:rPr>
              <w:t>Klasificirati pokazatelje uspješnosti iz podataka financijskih izvještaja</w:t>
            </w:r>
          </w:p>
        </w:tc>
      </w:tr>
      <w:tr w:rsidR="00AE48B3" w:rsidRPr="00F919E2" w14:paraId="2B129BD4" w14:textId="77777777" w:rsidTr="0090151D">
        <w:trPr>
          <w:trHeight w:val="427"/>
        </w:trPr>
        <w:tc>
          <w:tcPr>
            <w:tcW w:w="9508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58A72F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E48B3" w:rsidRPr="00F919E2" w14:paraId="4AFED1F5" w14:textId="77777777" w:rsidTr="0090151D">
        <w:trPr>
          <w:trHeight w:val="572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424778" w14:textId="4E304A7B" w:rsidR="004C0AA6" w:rsidRDefault="00840F14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D7D51">
              <w:rPr>
                <w:rFonts w:cstheme="minorHAnsi"/>
                <w:bCs/>
                <w:sz w:val="20"/>
                <w:szCs w:val="20"/>
              </w:rPr>
              <w:t>Dominant</w:t>
            </w:r>
            <w:r w:rsidR="003E60B9">
              <w:rPr>
                <w:rFonts w:cstheme="minorHAnsi"/>
                <w:bCs/>
                <w:sz w:val="20"/>
                <w:szCs w:val="20"/>
              </w:rPr>
              <w:t>an</w:t>
            </w:r>
            <w:r w:rsidRPr="009D7D51">
              <w:rPr>
                <w:rFonts w:cstheme="minorHAnsi"/>
                <w:bCs/>
                <w:sz w:val="20"/>
                <w:szCs w:val="20"/>
              </w:rPr>
              <w:t xml:space="preserve"> nastavni sustav</w:t>
            </w:r>
            <w:r w:rsidR="00870A51">
              <w:rPr>
                <w:rFonts w:cstheme="minorHAnsi"/>
                <w:bCs/>
                <w:sz w:val="20"/>
                <w:szCs w:val="20"/>
              </w:rPr>
              <w:t xml:space="preserve"> je </w:t>
            </w:r>
            <w:r w:rsidRPr="009D7D51">
              <w:rPr>
                <w:rFonts w:cstheme="minorHAnsi"/>
                <w:bCs/>
                <w:sz w:val="20"/>
                <w:szCs w:val="20"/>
              </w:rPr>
              <w:t xml:space="preserve">učenje temeljeno na radu. </w:t>
            </w:r>
          </w:p>
          <w:p w14:paraId="314FBEFD" w14:textId="77777777" w:rsidR="007E3017" w:rsidRDefault="00840F14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D7D51">
              <w:rPr>
                <w:rFonts w:cstheme="minorHAnsi"/>
                <w:bCs/>
                <w:sz w:val="20"/>
                <w:szCs w:val="20"/>
              </w:rPr>
              <w:t xml:space="preserve">Polaznik istražuje </w:t>
            </w:r>
            <w:r w:rsidR="00B82432" w:rsidRPr="009D7D51">
              <w:rPr>
                <w:rFonts w:cstheme="minorHAnsi"/>
                <w:bCs/>
                <w:sz w:val="20"/>
                <w:szCs w:val="20"/>
              </w:rPr>
              <w:t xml:space="preserve">vrste analize financijskih izvještaja i pokazatelje uspješnosti poslovanja. </w:t>
            </w:r>
            <w:r w:rsidR="00CD5AED">
              <w:rPr>
                <w:rFonts w:cstheme="minorHAnsi"/>
                <w:bCs/>
                <w:sz w:val="20"/>
                <w:szCs w:val="20"/>
              </w:rPr>
              <w:t>Nakon toga,</w:t>
            </w:r>
            <w:r w:rsidR="004C0AA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82432" w:rsidRPr="009D7D51">
              <w:rPr>
                <w:rFonts w:cstheme="minorHAnsi"/>
                <w:bCs/>
                <w:sz w:val="20"/>
                <w:szCs w:val="20"/>
              </w:rPr>
              <w:t xml:space="preserve">samostalno na temelju bruto bilance izrađuje temeljne financijske izvještaje korištenjem obrasca GFI-POD koji mu </w:t>
            </w:r>
            <w:r w:rsidR="00F93E23">
              <w:rPr>
                <w:rFonts w:cstheme="minorHAnsi"/>
                <w:bCs/>
                <w:sz w:val="20"/>
                <w:szCs w:val="20"/>
              </w:rPr>
              <w:t xml:space="preserve">onda </w:t>
            </w:r>
            <w:r w:rsidR="00B82432" w:rsidRPr="009D7D51">
              <w:rPr>
                <w:rFonts w:cstheme="minorHAnsi"/>
                <w:bCs/>
                <w:sz w:val="20"/>
                <w:szCs w:val="20"/>
              </w:rPr>
              <w:t>služe kao osnova za analizu istih</w:t>
            </w:r>
            <w:r w:rsidR="004C0AA6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>N</w:t>
            </w:r>
            <w:r w:rsidRPr="009D7D51">
              <w:rPr>
                <w:rFonts w:cstheme="minorHAnsi"/>
                <w:bCs/>
                <w:sz w:val="20"/>
                <w:szCs w:val="20"/>
              </w:rPr>
              <w:t xml:space="preserve">a samom kraju, </w:t>
            </w:r>
            <w:r w:rsidR="005969AE" w:rsidRPr="009D7D51">
              <w:rPr>
                <w:rFonts w:cstheme="minorHAnsi"/>
                <w:bCs/>
                <w:sz w:val="20"/>
                <w:szCs w:val="20"/>
              </w:rPr>
              <w:t xml:space="preserve">polaznik </w:t>
            </w:r>
            <w:r w:rsidR="003D5F30">
              <w:rPr>
                <w:rFonts w:cstheme="minorHAnsi"/>
                <w:bCs/>
                <w:sz w:val="20"/>
                <w:szCs w:val="20"/>
              </w:rPr>
              <w:t>analizira p</w:t>
            </w:r>
            <w:r w:rsidR="00F93E23">
              <w:rPr>
                <w:rFonts w:cstheme="minorHAnsi"/>
                <w:bCs/>
                <w:sz w:val="20"/>
                <w:szCs w:val="20"/>
              </w:rPr>
              <w:t>odatk</w:t>
            </w:r>
            <w:r w:rsidR="003D5F30">
              <w:rPr>
                <w:rFonts w:cstheme="minorHAnsi"/>
                <w:bCs/>
                <w:sz w:val="20"/>
                <w:szCs w:val="20"/>
              </w:rPr>
              <w:t>e</w:t>
            </w:r>
            <w:r w:rsidR="00F93E23">
              <w:rPr>
                <w:rFonts w:cstheme="minorHAnsi"/>
                <w:bCs/>
                <w:sz w:val="20"/>
                <w:szCs w:val="20"/>
              </w:rPr>
              <w:t xml:space="preserve"> t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>emeljn</w:t>
            </w:r>
            <w:r w:rsidR="00F93E23">
              <w:rPr>
                <w:rFonts w:cstheme="minorHAnsi"/>
                <w:bCs/>
                <w:sz w:val="20"/>
                <w:szCs w:val="20"/>
              </w:rPr>
              <w:t>ih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 xml:space="preserve"> financijsk</w:t>
            </w:r>
            <w:r w:rsidR="00F93E23">
              <w:rPr>
                <w:rFonts w:cstheme="minorHAnsi"/>
                <w:bCs/>
                <w:sz w:val="20"/>
                <w:szCs w:val="20"/>
              </w:rPr>
              <w:t>ih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 xml:space="preserve"> izvještaj</w:t>
            </w:r>
            <w:r w:rsidR="00F93E23">
              <w:rPr>
                <w:rFonts w:cstheme="minorHAnsi"/>
                <w:bCs/>
                <w:sz w:val="20"/>
                <w:szCs w:val="20"/>
              </w:rPr>
              <w:t>a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 xml:space="preserve"> za </w:t>
            </w:r>
            <w:r w:rsidR="009D7D51">
              <w:rPr>
                <w:rFonts w:cstheme="minorHAnsi"/>
                <w:bCs/>
                <w:sz w:val="20"/>
                <w:szCs w:val="20"/>
              </w:rPr>
              <w:t>tri</w:t>
            </w:r>
            <w:r w:rsidR="00F27304" w:rsidRPr="009D7D5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64A4F" w:rsidRPr="009D7D51">
              <w:rPr>
                <w:rFonts w:cstheme="minorHAnsi"/>
                <w:bCs/>
                <w:sz w:val="20"/>
                <w:szCs w:val="20"/>
              </w:rPr>
              <w:t xml:space="preserve">godine </w:t>
            </w:r>
            <w:r w:rsidRPr="009D7D51">
              <w:rPr>
                <w:rFonts w:cstheme="minorHAnsi"/>
                <w:bCs/>
                <w:sz w:val="20"/>
                <w:szCs w:val="20"/>
              </w:rPr>
              <w:t>čime dokazuje uspješnost realizacije ishoda učenja ovog skupa</w:t>
            </w:r>
            <w:r w:rsidR="0004428C" w:rsidRPr="009D7D51">
              <w:rPr>
                <w:rFonts w:cstheme="minorHAnsi"/>
                <w:bCs/>
                <w:sz w:val="20"/>
                <w:szCs w:val="20"/>
              </w:rPr>
              <w:t>.</w:t>
            </w:r>
            <w:r w:rsidR="004C0AA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768E7CF" w14:textId="163CB09A" w:rsidR="004C0AA6" w:rsidRDefault="004C0AA6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C0AA6">
              <w:rPr>
                <w:rFonts w:cstheme="minorHAnsi"/>
                <w:bCs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37640ACC" w14:textId="094F6467" w:rsidR="00EF0E4D" w:rsidRPr="004C0AA6" w:rsidRDefault="00EF0E4D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B7D81">
              <w:rPr>
                <w:rFonts w:cstheme="minorHAnsi"/>
                <w:bCs/>
                <w:sz w:val="20"/>
                <w:szCs w:val="20"/>
              </w:rPr>
              <w:lastRenderedPageBreak/>
              <w:t>Samostalna aktivnost polaznika o</w:t>
            </w:r>
            <w:r>
              <w:rPr>
                <w:rFonts w:cstheme="minorHAnsi"/>
                <w:bCs/>
                <w:sz w:val="20"/>
                <w:szCs w:val="20"/>
              </w:rPr>
              <w:t>d</w:t>
            </w:r>
            <w:r w:rsidRPr="00CB7D81">
              <w:rPr>
                <w:rFonts w:cstheme="minorHAnsi"/>
                <w:bCs/>
                <w:sz w:val="20"/>
                <w:szCs w:val="20"/>
              </w:rPr>
              <w:t>nosi se na analizu</w:t>
            </w:r>
            <w:r>
              <w:rPr>
                <w:rFonts w:cstheme="minorHAnsi"/>
                <w:bCs/>
                <w:sz w:val="20"/>
                <w:szCs w:val="20"/>
              </w:rPr>
              <w:t xml:space="preserve"> temeljnih financijskih izvještaja odabranog poduzeća u obliku seminarskog rada / pisanog izvješća.</w:t>
            </w:r>
            <w:r w:rsidR="00B1210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B4536">
              <w:rPr>
                <w:rFonts w:cstheme="minorHAnsi"/>
                <w:bCs/>
                <w:sz w:val="20"/>
                <w:szCs w:val="20"/>
              </w:rPr>
              <w:t>Samostalna aktivnost polaznika odnosi se na aktivnosti unutar cijelog programa obrazovanja.</w:t>
            </w:r>
          </w:p>
          <w:p w14:paraId="03F0E145" w14:textId="4E91B462" w:rsidR="00AE48B3" w:rsidRPr="00111EBB" w:rsidRDefault="004C0AA6" w:rsidP="004A217A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Cs/>
                <w:sz w:val="20"/>
                <w:szCs w:val="20"/>
                <w:highlight w:val="lightGray"/>
              </w:rPr>
            </w:pPr>
            <w:r w:rsidRPr="004C0AA6">
              <w:rPr>
                <w:rFonts w:cstheme="minorHAnsi"/>
                <w:bCs/>
                <w:sz w:val="20"/>
                <w:szCs w:val="20"/>
              </w:rPr>
              <w:t>Učenje temeljeno na radu provodi se u specijaliziranim učionicima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AE48B3" w:rsidRPr="00F919E2" w14:paraId="34D31478" w14:textId="77777777" w:rsidTr="0090151D">
        <w:tc>
          <w:tcPr>
            <w:tcW w:w="1851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97F31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D455D" w14:textId="3D9C1183" w:rsidR="00AE48B3" w:rsidRPr="003D0A68" w:rsidRDefault="00B82432" w:rsidP="00AE48B3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 xml:space="preserve">Analiza </w:t>
            </w:r>
            <w:r w:rsidR="007B7433" w:rsidRPr="003D0A68">
              <w:rPr>
                <w:rFonts w:cstheme="minorHAnsi"/>
                <w:bCs/>
                <w:sz w:val="20"/>
                <w:szCs w:val="20"/>
              </w:rPr>
              <w:t>financijski</w:t>
            </w:r>
            <w:r w:rsidRPr="003D0A68">
              <w:rPr>
                <w:rFonts w:cstheme="minorHAnsi"/>
                <w:bCs/>
                <w:sz w:val="20"/>
                <w:szCs w:val="20"/>
              </w:rPr>
              <w:t>h</w:t>
            </w:r>
            <w:r w:rsidR="007B7433" w:rsidRPr="003D0A68">
              <w:rPr>
                <w:rFonts w:cstheme="minorHAnsi"/>
                <w:bCs/>
                <w:sz w:val="20"/>
                <w:szCs w:val="20"/>
              </w:rPr>
              <w:t xml:space="preserve"> izvještaj</w:t>
            </w:r>
            <w:r w:rsidRPr="003D0A68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1F0C4580" w14:textId="2D907B1E" w:rsidR="00111EBB" w:rsidRPr="00312E4A" w:rsidRDefault="007B7433" w:rsidP="00AE48B3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D0A68">
              <w:rPr>
                <w:rFonts w:cstheme="minorHAnsi"/>
                <w:bCs/>
                <w:sz w:val="20"/>
                <w:szCs w:val="20"/>
              </w:rPr>
              <w:t>Pokazatelji uspješnosti poslovanja</w:t>
            </w:r>
          </w:p>
        </w:tc>
      </w:tr>
      <w:tr w:rsidR="00AE48B3" w:rsidRPr="00F919E2" w14:paraId="4450CA4A" w14:textId="77777777" w:rsidTr="0090151D">
        <w:trPr>
          <w:trHeight w:val="486"/>
        </w:trPr>
        <w:tc>
          <w:tcPr>
            <w:tcW w:w="9508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C518B0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AE48B3" w:rsidRPr="00F919E2" w14:paraId="399151A1" w14:textId="77777777" w:rsidTr="0090151D">
        <w:trPr>
          <w:trHeight w:val="572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E5BD0C" w14:textId="77777777" w:rsidR="003E60B9" w:rsidRPr="003E60B9" w:rsidRDefault="003E60B9" w:rsidP="003E60B9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E60B9">
              <w:rPr>
                <w:rFonts w:cstheme="minorHAnsi"/>
                <w:iCs/>
                <w:sz w:val="20"/>
                <w:szCs w:val="20"/>
                <w:lang w:val="hr-HR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99D9527" w14:textId="4E9278DC" w:rsidR="003E60B9" w:rsidRPr="003E60B9" w:rsidRDefault="003E60B9" w:rsidP="003E60B9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E60B9">
              <w:rPr>
                <w:rFonts w:cstheme="minorHAnsi"/>
                <w:iCs/>
                <w:sz w:val="20"/>
                <w:szCs w:val="20"/>
                <w:lang w:val="hr-HR"/>
              </w:rPr>
              <w:t>Primjeri vrednovanja:</w:t>
            </w:r>
          </w:p>
          <w:p w14:paraId="09D7638F" w14:textId="2DA6231B" w:rsidR="00EC01D7" w:rsidRDefault="00EC01D7" w:rsidP="00111AF6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215EF1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Situacijski scenarij poučavanja</w:t>
            </w:r>
          </w:p>
          <w:p w14:paraId="20E23330" w14:textId="67775195" w:rsidR="00EC01D7" w:rsidRDefault="00EC01D7" w:rsidP="00111AF6">
            <w:pPr>
              <w:tabs>
                <w:tab w:val="left" w:pos="2820"/>
              </w:tabs>
              <w:spacing w:after="120" w:line="24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Temeljne temeljito</w:t>
            </w:r>
          </w:p>
          <w:p w14:paraId="6BCEE33C" w14:textId="77777777" w:rsidR="00EC01D7" w:rsidRPr="00EC01D7" w:rsidRDefault="00111EBB" w:rsidP="00F4624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>Polaznik na mrežnim stranicama pronalazi objavljenu bruto bilancu trgovačkog društva po svom izboru. Na temelju bruto bilance, polaznik izrađuje račun dobiti i gubitka te početnu bilancu na dan 1. siječnja</w:t>
            </w:r>
            <w:r w:rsidR="00EC01D7">
              <w:rPr>
                <w:rFonts w:cstheme="minorHAnsi"/>
                <w:iCs/>
                <w:sz w:val="20"/>
                <w:szCs w:val="20"/>
              </w:rPr>
              <w:t xml:space="preserve"> 20xx</w:t>
            </w:r>
            <w:r w:rsidRPr="00EC01D7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72F3D321" w14:textId="03FB738A" w:rsidR="00EC01D7" w:rsidRPr="00EC01D7" w:rsidRDefault="00111EBB" w:rsidP="00F4624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 xml:space="preserve">Nakon toga polaznik dobiva deset poslovnih promjena u kojima će doći do kolanja novčanih sredstava (transakcijski račun, gotovina, devizna sredstva…). </w:t>
            </w:r>
          </w:p>
          <w:p w14:paraId="1A511520" w14:textId="7AF06230" w:rsidR="00111EBB" w:rsidRPr="00EC01D7" w:rsidRDefault="00111EBB" w:rsidP="00F4624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C01D7">
              <w:rPr>
                <w:rFonts w:cstheme="minorHAnsi"/>
                <w:iCs/>
                <w:sz w:val="20"/>
                <w:szCs w:val="20"/>
              </w:rPr>
              <w:t>Polaznik usmeno analizira poslovne promjene te nakon toga izrađuje Izvještaj o novčanom toku prema direktnoj metodi. Na temelju svih prikupljenih podataka, polaznik izračunava pokazatelje uspješnosti te interpretira dobivene rezultate.</w:t>
            </w:r>
            <w:r w:rsidRPr="00EC01D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F6750BD" w14:textId="14B45C8C" w:rsidR="00AE48B3" w:rsidRPr="00F919E2" w:rsidRDefault="0089765C" w:rsidP="004A217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b/>
                <w:bCs/>
                <w:iCs/>
                <w:noProof/>
                <w:sz w:val="20"/>
                <w:szCs w:val="20"/>
              </w:rPr>
              <w:t>Vrednovanje:</w:t>
            </w:r>
            <w:r>
              <w:rPr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AE48B3" w:rsidRPr="00F919E2" w14:paraId="5F9B1269" w14:textId="77777777" w:rsidTr="0090151D">
        <w:trPr>
          <w:trHeight w:val="446"/>
        </w:trPr>
        <w:tc>
          <w:tcPr>
            <w:tcW w:w="9508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F567C8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E48B3" w:rsidRPr="00F919E2" w14:paraId="3785827E" w14:textId="77777777" w:rsidTr="0090151D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E2D2B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FB7C175" w14:textId="77777777" w:rsidR="00AE48B3" w:rsidRPr="00F919E2" w:rsidRDefault="00AE48B3" w:rsidP="00AE48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BEF8165" w14:textId="77777777" w:rsidR="007E3017" w:rsidRPr="00BB4536" w:rsidRDefault="007E3017" w:rsidP="00DF363E">
      <w:pPr>
        <w:autoSpaceDE w:val="0"/>
        <w:autoSpaceDN w:val="0"/>
        <w:adjustRightInd w:val="0"/>
        <w:spacing w:line="300" w:lineRule="atLeast"/>
        <w:rPr>
          <w:b/>
          <w:bCs/>
          <w:sz w:val="4"/>
          <w:szCs w:val="4"/>
        </w:rPr>
      </w:pPr>
    </w:p>
    <w:p w14:paraId="29381CB0" w14:textId="77777777" w:rsidR="00F0531D" w:rsidRDefault="00F0531D" w:rsidP="00F0531D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</w:pPr>
      <w:r>
        <w:rPr>
          <w:rFonts w:cstheme="minorHAnsi"/>
          <w:b/>
          <w:bCs/>
          <w:iCs/>
          <w:sz w:val="20"/>
          <w:szCs w:val="20"/>
        </w:rPr>
        <w:t>*Napomena:</w:t>
      </w:r>
    </w:p>
    <w:p w14:paraId="24E46FE4" w14:textId="6433784C" w:rsidR="0090151D" w:rsidRPr="003E60B9" w:rsidRDefault="00F0531D" w:rsidP="003E60B9">
      <w:pPr>
        <w:tabs>
          <w:tab w:val="left" w:pos="720"/>
        </w:tabs>
        <w:autoSpaceDE w:val="0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A340130" w14:textId="7A51883C" w:rsidR="00DF363E" w:rsidRDefault="00DF363E" w:rsidP="00DF363E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DF363E" w14:paraId="09DE3F48" w14:textId="77777777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E4BBA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4C0EBE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F363E" w14:paraId="6D270F61" w14:textId="7777777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E5FBC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B7A13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F363E" w14:paraId="1893401B" w14:textId="77777777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85EC56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C84887" w14:textId="77777777" w:rsidR="00DF363E" w:rsidRDefault="00DF363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69151C9E" w14:textId="77777777" w:rsidR="00DF363E" w:rsidRDefault="00DF363E"/>
    <w:sectPr w:rsidR="00DF363E" w:rsidSect="0043085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8314" w14:textId="77777777" w:rsidR="00D8685B" w:rsidRDefault="00D8685B" w:rsidP="00C759FB">
      <w:pPr>
        <w:spacing w:after="0" w:line="240" w:lineRule="auto"/>
      </w:pPr>
      <w:r>
        <w:separator/>
      </w:r>
    </w:p>
  </w:endnote>
  <w:endnote w:type="continuationSeparator" w:id="0">
    <w:p w14:paraId="31EF05AA" w14:textId="77777777" w:rsidR="00D8685B" w:rsidRDefault="00D8685B" w:rsidP="00C759FB">
      <w:pPr>
        <w:spacing w:after="0" w:line="240" w:lineRule="auto"/>
      </w:pPr>
      <w:r>
        <w:continuationSeparator/>
      </w:r>
    </w:p>
  </w:endnote>
  <w:endnote w:type="continuationNotice" w:id="1">
    <w:p w14:paraId="0F2DEE37" w14:textId="77777777" w:rsidR="00D8685B" w:rsidRDefault="00D86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7542569"/>
      <w:docPartObj>
        <w:docPartGallery w:val="Page Numbers (Bottom of Page)"/>
        <w:docPartUnique/>
      </w:docPartObj>
    </w:sdtPr>
    <w:sdtContent>
      <w:p w14:paraId="0CB499D5" w14:textId="458A7997" w:rsidR="0043085E" w:rsidRDefault="004308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D7F67D7" w14:textId="77777777" w:rsidR="0043085E" w:rsidRDefault="00430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605C" w14:textId="77777777" w:rsidR="00D8685B" w:rsidRDefault="00D8685B" w:rsidP="00C759FB">
      <w:pPr>
        <w:spacing w:after="0" w:line="240" w:lineRule="auto"/>
      </w:pPr>
      <w:r>
        <w:separator/>
      </w:r>
    </w:p>
  </w:footnote>
  <w:footnote w:type="continuationSeparator" w:id="0">
    <w:p w14:paraId="30DCB440" w14:textId="77777777" w:rsidR="00D8685B" w:rsidRDefault="00D8685B" w:rsidP="00C759FB">
      <w:pPr>
        <w:spacing w:after="0" w:line="240" w:lineRule="auto"/>
      </w:pPr>
      <w:r>
        <w:continuationSeparator/>
      </w:r>
    </w:p>
  </w:footnote>
  <w:footnote w:type="continuationNotice" w:id="1">
    <w:p w14:paraId="5ED79FCC" w14:textId="77777777" w:rsidR="00D8685B" w:rsidRDefault="00D868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1289"/>
    <w:multiLevelType w:val="hybridMultilevel"/>
    <w:tmpl w:val="833C2F9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34995"/>
    <w:multiLevelType w:val="hybridMultilevel"/>
    <w:tmpl w:val="5A7E07B4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F11EE"/>
    <w:multiLevelType w:val="hybridMultilevel"/>
    <w:tmpl w:val="2F4E0F0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50BBF"/>
    <w:multiLevelType w:val="hybridMultilevel"/>
    <w:tmpl w:val="892024C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414A0"/>
    <w:multiLevelType w:val="hybridMultilevel"/>
    <w:tmpl w:val="FC40BBE2"/>
    <w:lvl w:ilvl="0" w:tplc="CD04C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04BD4"/>
    <w:multiLevelType w:val="hybridMultilevel"/>
    <w:tmpl w:val="B27A5EEC"/>
    <w:lvl w:ilvl="0" w:tplc="5852D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7706D6"/>
    <w:multiLevelType w:val="hybridMultilevel"/>
    <w:tmpl w:val="F482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1D37"/>
    <w:multiLevelType w:val="hybridMultilevel"/>
    <w:tmpl w:val="10888AE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35BAB"/>
    <w:multiLevelType w:val="hybridMultilevel"/>
    <w:tmpl w:val="FB92A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836D2"/>
    <w:multiLevelType w:val="hybridMultilevel"/>
    <w:tmpl w:val="92AC7354"/>
    <w:lvl w:ilvl="0" w:tplc="E6FE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613159">
    <w:abstractNumId w:val="11"/>
  </w:num>
  <w:num w:numId="2" w16cid:durableId="1559365089">
    <w:abstractNumId w:val="1"/>
  </w:num>
  <w:num w:numId="3" w16cid:durableId="847594816">
    <w:abstractNumId w:val="10"/>
  </w:num>
  <w:num w:numId="4" w16cid:durableId="1511409794">
    <w:abstractNumId w:val="9"/>
  </w:num>
  <w:num w:numId="5" w16cid:durableId="1620213315">
    <w:abstractNumId w:val="6"/>
  </w:num>
  <w:num w:numId="6" w16cid:durableId="362287830">
    <w:abstractNumId w:val="7"/>
  </w:num>
  <w:num w:numId="7" w16cid:durableId="617564645">
    <w:abstractNumId w:val="4"/>
  </w:num>
  <w:num w:numId="8" w16cid:durableId="1066075143">
    <w:abstractNumId w:val="5"/>
  </w:num>
  <w:num w:numId="9" w16cid:durableId="2138986487">
    <w:abstractNumId w:val="3"/>
  </w:num>
  <w:num w:numId="10" w16cid:durableId="576281255">
    <w:abstractNumId w:val="8"/>
  </w:num>
  <w:num w:numId="11" w16cid:durableId="1487748954">
    <w:abstractNumId w:val="0"/>
  </w:num>
  <w:num w:numId="12" w16cid:durableId="28196015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7F46"/>
    <w:rsid w:val="0001070D"/>
    <w:rsid w:val="0001213F"/>
    <w:rsid w:val="00012313"/>
    <w:rsid w:val="000135B4"/>
    <w:rsid w:val="00014D66"/>
    <w:rsid w:val="00015CD2"/>
    <w:rsid w:val="00016F76"/>
    <w:rsid w:val="0001786B"/>
    <w:rsid w:val="00017F53"/>
    <w:rsid w:val="00023721"/>
    <w:rsid w:val="00027FCF"/>
    <w:rsid w:val="0003409D"/>
    <w:rsid w:val="00037EE1"/>
    <w:rsid w:val="0004030A"/>
    <w:rsid w:val="00043573"/>
    <w:rsid w:val="0004428C"/>
    <w:rsid w:val="000452B0"/>
    <w:rsid w:val="00057B33"/>
    <w:rsid w:val="00057DD5"/>
    <w:rsid w:val="00060752"/>
    <w:rsid w:val="0006192B"/>
    <w:rsid w:val="00065893"/>
    <w:rsid w:val="0006789F"/>
    <w:rsid w:val="00072E74"/>
    <w:rsid w:val="00074D13"/>
    <w:rsid w:val="00075502"/>
    <w:rsid w:val="00076113"/>
    <w:rsid w:val="00077F48"/>
    <w:rsid w:val="00083D08"/>
    <w:rsid w:val="00086E77"/>
    <w:rsid w:val="0009130E"/>
    <w:rsid w:val="000952F1"/>
    <w:rsid w:val="00095B0C"/>
    <w:rsid w:val="000A0DD3"/>
    <w:rsid w:val="000A1042"/>
    <w:rsid w:val="000A36A2"/>
    <w:rsid w:val="000A5AEB"/>
    <w:rsid w:val="000A6CCE"/>
    <w:rsid w:val="000B3069"/>
    <w:rsid w:val="000B57F6"/>
    <w:rsid w:val="000C04CA"/>
    <w:rsid w:val="000C09C0"/>
    <w:rsid w:val="000C1055"/>
    <w:rsid w:val="000C23CA"/>
    <w:rsid w:val="000C2B12"/>
    <w:rsid w:val="000C41BF"/>
    <w:rsid w:val="000C72CD"/>
    <w:rsid w:val="000C72DA"/>
    <w:rsid w:val="000C769B"/>
    <w:rsid w:val="000C7887"/>
    <w:rsid w:val="000D449B"/>
    <w:rsid w:val="000D45D3"/>
    <w:rsid w:val="000D54BB"/>
    <w:rsid w:val="000D5D59"/>
    <w:rsid w:val="000D7D87"/>
    <w:rsid w:val="000E018C"/>
    <w:rsid w:val="000E4DF5"/>
    <w:rsid w:val="000E5F3F"/>
    <w:rsid w:val="000E6AEF"/>
    <w:rsid w:val="000F2797"/>
    <w:rsid w:val="000F3E79"/>
    <w:rsid w:val="000F70C5"/>
    <w:rsid w:val="001012BB"/>
    <w:rsid w:val="001042FE"/>
    <w:rsid w:val="0011017C"/>
    <w:rsid w:val="00111AF6"/>
    <w:rsid w:val="00111EBB"/>
    <w:rsid w:val="00112312"/>
    <w:rsid w:val="001141D7"/>
    <w:rsid w:val="00114489"/>
    <w:rsid w:val="00115A55"/>
    <w:rsid w:val="00116CA5"/>
    <w:rsid w:val="00117368"/>
    <w:rsid w:val="00117E7B"/>
    <w:rsid w:val="00121315"/>
    <w:rsid w:val="00122E83"/>
    <w:rsid w:val="001238B8"/>
    <w:rsid w:val="0012622F"/>
    <w:rsid w:val="0013255A"/>
    <w:rsid w:val="00133914"/>
    <w:rsid w:val="00135F1D"/>
    <w:rsid w:val="00136B4B"/>
    <w:rsid w:val="00137A06"/>
    <w:rsid w:val="001432F9"/>
    <w:rsid w:val="00146BB6"/>
    <w:rsid w:val="00146BC0"/>
    <w:rsid w:val="00150A6B"/>
    <w:rsid w:val="00151CE7"/>
    <w:rsid w:val="001532A3"/>
    <w:rsid w:val="00155BEE"/>
    <w:rsid w:val="001607B5"/>
    <w:rsid w:val="00162F8C"/>
    <w:rsid w:val="0016596E"/>
    <w:rsid w:val="00166B7D"/>
    <w:rsid w:val="001677A3"/>
    <w:rsid w:val="001701F8"/>
    <w:rsid w:val="00171A82"/>
    <w:rsid w:val="00180AE4"/>
    <w:rsid w:val="0018375F"/>
    <w:rsid w:val="00183787"/>
    <w:rsid w:val="00183B48"/>
    <w:rsid w:val="00184DE2"/>
    <w:rsid w:val="001865A4"/>
    <w:rsid w:val="00186EFD"/>
    <w:rsid w:val="00187975"/>
    <w:rsid w:val="00191245"/>
    <w:rsid w:val="00191875"/>
    <w:rsid w:val="001926E4"/>
    <w:rsid w:val="00192A16"/>
    <w:rsid w:val="001975E2"/>
    <w:rsid w:val="001A21CA"/>
    <w:rsid w:val="001A41D3"/>
    <w:rsid w:val="001A796B"/>
    <w:rsid w:val="001B00C9"/>
    <w:rsid w:val="001B2A96"/>
    <w:rsid w:val="001B4306"/>
    <w:rsid w:val="001B6FEC"/>
    <w:rsid w:val="001B7047"/>
    <w:rsid w:val="001B7A9B"/>
    <w:rsid w:val="001C0242"/>
    <w:rsid w:val="001C1CE2"/>
    <w:rsid w:val="001C2100"/>
    <w:rsid w:val="001C4BD2"/>
    <w:rsid w:val="001D0839"/>
    <w:rsid w:val="001D2486"/>
    <w:rsid w:val="001D325C"/>
    <w:rsid w:val="001D445B"/>
    <w:rsid w:val="001D522D"/>
    <w:rsid w:val="001E15A0"/>
    <w:rsid w:val="001E43E6"/>
    <w:rsid w:val="001E4849"/>
    <w:rsid w:val="001E5F0F"/>
    <w:rsid w:val="001F0D5B"/>
    <w:rsid w:val="001F241A"/>
    <w:rsid w:val="001F2BCE"/>
    <w:rsid w:val="001F2FBD"/>
    <w:rsid w:val="002027B2"/>
    <w:rsid w:val="0020565A"/>
    <w:rsid w:val="00207F5B"/>
    <w:rsid w:val="00210FD6"/>
    <w:rsid w:val="00212214"/>
    <w:rsid w:val="002132BF"/>
    <w:rsid w:val="00215EF1"/>
    <w:rsid w:val="00217DD5"/>
    <w:rsid w:val="00222ADA"/>
    <w:rsid w:val="00227A0C"/>
    <w:rsid w:val="00233492"/>
    <w:rsid w:val="002336A8"/>
    <w:rsid w:val="00240FEC"/>
    <w:rsid w:val="00241AC9"/>
    <w:rsid w:val="00244DA1"/>
    <w:rsid w:val="00246014"/>
    <w:rsid w:val="002462A7"/>
    <w:rsid w:val="002465EB"/>
    <w:rsid w:val="0024701A"/>
    <w:rsid w:val="00250B2E"/>
    <w:rsid w:val="00253365"/>
    <w:rsid w:val="002533A4"/>
    <w:rsid w:val="00255FF5"/>
    <w:rsid w:val="0026027E"/>
    <w:rsid w:val="00260D87"/>
    <w:rsid w:val="002610CF"/>
    <w:rsid w:val="00261732"/>
    <w:rsid w:val="00262B73"/>
    <w:rsid w:val="0026485E"/>
    <w:rsid w:val="00266604"/>
    <w:rsid w:val="00270FDC"/>
    <w:rsid w:val="00271236"/>
    <w:rsid w:val="00273EC6"/>
    <w:rsid w:val="00275235"/>
    <w:rsid w:val="00275AF1"/>
    <w:rsid w:val="00280A35"/>
    <w:rsid w:val="00283198"/>
    <w:rsid w:val="00287215"/>
    <w:rsid w:val="00293D0B"/>
    <w:rsid w:val="00296239"/>
    <w:rsid w:val="00296BB5"/>
    <w:rsid w:val="002A3C84"/>
    <w:rsid w:val="002A535A"/>
    <w:rsid w:val="002B4ACA"/>
    <w:rsid w:val="002C14AB"/>
    <w:rsid w:val="002C1A15"/>
    <w:rsid w:val="002C1AAB"/>
    <w:rsid w:val="002C2E5A"/>
    <w:rsid w:val="002C2EBC"/>
    <w:rsid w:val="002C49E5"/>
    <w:rsid w:val="002C4D2A"/>
    <w:rsid w:val="002C6330"/>
    <w:rsid w:val="002C6CE2"/>
    <w:rsid w:val="002D23DC"/>
    <w:rsid w:val="002D4E2E"/>
    <w:rsid w:val="002D7576"/>
    <w:rsid w:val="002E0C15"/>
    <w:rsid w:val="002E23BB"/>
    <w:rsid w:val="002E241D"/>
    <w:rsid w:val="002E71F3"/>
    <w:rsid w:val="002F2C7C"/>
    <w:rsid w:val="002F2F24"/>
    <w:rsid w:val="002F3CB8"/>
    <w:rsid w:val="002F661A"/>
    <w:rsid w:val="002F6650"/>
    <w:rsid w:val="002F6831"/>
    <w:rsid w:val="002F772B"/>
    <w:rsid w:val="0030024F"/>
    <w:rsid w:val="00306378"/>
    <w:rsid w:val="00312E4A"/>
    <w:rsid w:val="00320741"/>
    <w:rsid w:val="0032119F"/>
    <w:rsid w:val="00322FD5"/>
    <w:rsid w:val="003244A3"/>
    <w:rsid w:val="00333989"/>
    <w:rsid w:val="0033465B"/>
    <w:rsid w:val="00335914"/>
    <w:rsid w:val="003414B5"/>
    <w:rsid w:val="00343228"/>
    <w:rsid w:val="003444E3"/>
    <w:rsid w:val="0034570A"/>
    <w:rsid w:val="00347544"/>
    <w:rsid w:val="00350651"/>
    <w:rsid w:val="00352027"/>
    <w:rsid w:val="003520EC"/>
    <w:rsid w:val="00353281"/>
    <w:rsid w:val="003554BA"/>
    <w:rsid w:val="00356FDB"/>
    <w:rsid w:val="003571A3"/>
    <w:rsid w:val="00357B4B"/>
    <w:rsid w:val="00363DCE"/>
    <w:rsid w:val="0036452D"/>
    <w:rsid w:val="00370948"/>
    <w:rsid w:val="00370AF4"/>
    <w:rsid w:val="00371854"/>
    <w:rsid w:val="0037190F"/>
    <w:rsid w:val="00374B52"/>
    <w:rsid w:val="00377FBC"/>
    <w:rsid w:val="00381A19"/>
    <w:rsid w:val="00386654"/>
    <w:rsid w:val="00386C99"/>
    <w:rsid w:val="00387317"/>
    <w:rsid w:val="003877C0"/>
    <w:rsid w:val="00390284"/>
    <w:rsid w:val="00390DCF"/>
    <w:rsid w:val="00391E6D"/>
    <w:rsid w:val="00392A74"/>
    <w:rsid w:val="003943C8"/>
    <w:rsid w:val="00394990"/>
    <w:rsid w:val="00395863"/>
    <w:rsid w:val="00396100"/>
    <w:rsid w:val="00397E72"/>
    <w:rsid w:val="003A057C"/>
    <w:rsid w:val="003A3692"/>
    <w:rsid w:val="003A3C82"/>
    <w:rsid w:val="003B04E8"/>
    <w:rsid w:val="003B6E02"/>
    <w:rsid w:val="003D0A68"/>
    <w:rsid w:val="003D1098"/>
    <w:rsid w:val="003D20AB"/>
    <w:rsid w:val="003D58A0"/>
    <w:rsid w:val="003D5F30"/>
    <w:rsid w:val="003D714A"/>
    <w:rsid w:val="003E21C5"/>
    <w:rsid w:val="003E352C"/>
    <w:rsid w:val="003E3961"/>
    <w:rsid w:val="003E60B9"/>
    <w:rsid w:val="003E6E2E"/>
    <w:rsid w:val="003E7788"/>
    <w:rsid w:val="003F0CCD"/>
    <w:rsid w:val="003F1EA6"/>
    <w:rsid w:val="003F2F42"/>
    <w:rsid w:val="00402CBF"/>
    <w:rsid w:val="00403A3D"/>
    <w:rsid w:val="004048F2"/>
    <w:rsid w:val="004057E8"/>
    <w:rsid w:val="00405BBD"/>
    <w:rsid w:val="0040641F"/>
    <w:rsid w:val="00406B86"/>
    <w:rsid w:val="00406C38"/>
    <w:rsid w:val="0040701C"/>
    <w:rsid w:val="004112E1"/>
    <w:rsid w:val="004147D9"/>
    <w:rsid w:val="00421921"/>
    <w:rsid w:val="004235E1"/>
    <w:rsid w:val="00423B20"/>
    <w:rsid w:val="00423B5C"/>
    <w:rsid w:val="0042508B"/>
    <w:rsid w:val="0043085E"/>
    <w:rsid w:val="00434E74"/>
    <w:rsid w:val="004360B6"/>
    <w:rsid w:val="004459ED"/>
    <w:rsid w:val="00446DF9"/>
    <w:rsid w:val="00451D3B"/>
    <w:rsid w:val="004524E9"/>
    <w:rsid w:val="00454061"/>
    <w:rsid w:val="00456BE8"/>
    <w:rsid w:val="00457C59"/>
    <w:rsid w:val="00460172"/>
    <w:rsid w:val="00460C0D"/>
    <w:rsid w:val="004618CE"/>
    <w:rsid w:val="004626EE"/>
    <w:rsid w:val="00462BC7"/>
    <w:rsid w:val="00466C99"/>
    <w:rsid w:val="004730D1"/>
    <w:rsid w:val="00476CD2"/>
    <w:rsid w:val="00483ABE"/>
    <w:rsid w:val="00485456"/>
    <w:rsid w:val="00485DDC"/>
    <w:rsid w:val="00486D89"/>
    <w:rsid w:val="00487B46"/>
    <w:rsid w:val="00491D56"/>
    <w:rsid w:val="00492570"/>
    <w:rsid w:val="004933D5"/>
    <w:rsid w:val="004957C2"/>
    <w:rsid w:val="00497B2D"/>
    <w:rsid w:val="004A0221"/>
    <w:rsid w:val="004A217A"/>
    <w:rsid w:val="004A2773"/>
    <w:rsid w:val="004A66C5"/>
    <w:rsid w:val="004A78D8"/>
    <w:rsid w:val="004B17E0"/>
    <w:rsid w:val="004B3BD9"/>
    <w:rsid w:val="004B442E"/>
    <w:rsid w:val="004B5745"/>
    <w:rsid w:val="004B5FB6"/>
    <w:rsid w:val="004B797F"/>
    <w:rsid w:val="004B7B20"/>
    <w:rsid w:val="004C0AA6"/>
    <w:rsid w:val="004C1A22"/>
    <w:rsid w:val="004C50C7"/>
    <w:rsid w:val="004C67B9"/>
    <w:rsid w:val="004D05E2"/>
    <w:rsid w:val="004D0E95"/>
    <w:rsid w:val="004D1412"/>
    <w:rsid w:val="004D165C"/>
    <w:rsid w:val="004D33E9"/>
    <w:rsid w:val="004D5278"/>
    <w:rsid w:val="004D5F0C"/>
    <w:rsid w:val="004D62DC"/>
    <w:rsid w:val="004D7A90"/>
    <w:rsid w:val="004E13C1"/>
    <w:rsid w:val="004E21F0"/>
    <w:rsid w:val="004E3859"/>
    <w:rsid w:val="004E4FFF"/>
    <w:rsid w:val="004E5494"/>
    <w:rsid w:val="004E6976"/>
    <w:rsid w:val="004F22AB"/>
    <w:rsid w:val="004F3435"/>
    <w:rsid w:val="004F3B88"/>
    <w:rsid w:val="004F5AD0"/>
    <w:rsid w:val="004FA6CC"/>
    <w:rsid w:val="00504C38"/>
    <w:rsid w:val="005079F6"/>
    <w:rsid w:val="00507E15"/>
    <w:rsid w:val="005119F5"/>
    <w:rsid w:val="00511C34"/>
    <w:rsid w:val="00511C9B"/>
    <w:rsid w:val="00512109"/>
    <w:rsid w:val="00517708"/>
    <w:rsid w:val="00520627"/>
    <w:rsid w:val="00520D8D"/>
    <w:rsid w:val="00523690"/>
    <w:rsid w:val="005259D2"/>
    <w:rsid w:val="005265EC"/>
    <w:rsid w:val="00530375"/>
    <w:rsid w:val="005330E7"/>
    <w:rsid w:val="005355BB"/>
    <w:rsid w:val="00535B67"/>
    <w:rsid w:val="0053693F"/>
    <w:rsid w:val="00537717"/>
    <w:rsid w:val="00543EB9"/>
    <w:rsid w:val="00544EAD"/>
    <w:rsid w:val="00545FBE"/>
    <w:rsid w:val="00547211"/>
    <w:rsid w:val="00550649"/>
    <w:rsid w:val="00552BC4"/>
    <w:rsid w:val="00554C20"/>
    <w:rsid w:val="00555767"/>
    <w:rsid w:val="005567B1"/>
    <w:rsid w:val="00557EDF"/>
    <w:rsid w:val="00561D81"/>
    <w:rsid w:val="00563AAC"/>
    <w:rsid w:val="00564618"/>
    <w:rsid w:val="005678C5"/>
    <w:rsid w:val="005708AC"/>
    <w:rsid w:val="00571C1E"/>
    <w:rsid w:val="00572715"/>
    <w:rsid w:val="00576506"/>
    <w:rsid w:val="00577583"/>
    <w:rsid w:val="0058005E"/>
    <w:rsid w:val="00580A56"/>
    <w:rsid w:val="00581D55"/>
    <w:rsid w:val="00582049"/>
    <w:rsid w:val="005827AC"/>
    <w:rsid w:val="005839F8"/>
    <w:rsid w:val="00583C9C"/>
    <w:rsid w:val="005902AC"/>
    <w:rsid w:val="00590EDD"/>
    <w:rsid w:val="005911D9"/>
    <w:rsid w:val="00596274"/>
    <w:rsid w:val="005969AE"/>
    <w:rsid w:val="00596F2E"/>
    <w:rsid w:val="00597AC6"/>
    <w:rsid w:val="005A1558"/>
    <w:rsid w:val="005A33AB"/>
    <w:rsid w:val="005A6920"/>
    <w:rsid w:val="005B30DE"/>
    <w:rsid w:val="005B46ED"/>
    <w:rsid w:val="005B504D"/>
    <w:rsid w:val="005B520C"/>
    <w:rsid w:val="005B6B9F"/>
    <w:rsid w:val="005B7597"/>
    <w:rsid w:val="005B7E8D"/>
    <w:rsid w:val="005C033C"/>
    <w:rsid w:val="005C29EE"/>
    <w:rsid w:val="005C2DC1"/>
    <w:rsid w:val="005C338E"/>
    <w:rsid w:val="005C37E9"/>
    <w:rsid w:val="005C59B3"/>
    <w:rsid w:val="005D07CA"/>
    <w:rsid w:val="005D2E06"/>
    <w:rsid w:val="005D3D47"/>
    <w:rsid w:val="005D5D33"/>
    <w:rsid w:val="005D6932"/>
    <w:rsid w:val="005D74C3"/>
    <w:rsid w:val="005E10B8"/>
    <w:rsid w:val="005E1476"/>
    <w:rsid w:val="005E1A76"/>
    <w:rsid w:val="005E2ED3"/>
    <w:rsid w:val="005E4B1F"/>
    <w:rsid w:val="005E635D"/>
    <w:rsid w:val="005E6CC8"/>
    <w:rsid w:val="005E7940"/>
    <w:rsid w:val="005E7A31"/>
    <w:rsid w:val="005F00F3"/>
    <w:rsid w:val="005F018B"/>
    <w:rsid w:val="005F26B3"/>
    <w:rsid w:val="005F2719"/>
    <w:rsid w:val="005F4CF9"/>
    <w:rsid w:val="005F64F0"/>
    <w:rsid w:val="005F7673"/>
    <w:rsid w:val="005F7D80"/>
    <w:rsid w:val="005F7F2E"/>
    <w:rsid w:val="00600709"/>
    <w:rsid w:val="00604E59"/>
    <w:rsid w:val="00605D09"/>
    <w:rsid w:val="00606386"/>
    <w:rsid w:val="00607D51"/>
    <w:rsid w:val="00613CBD"/>
    <w:rsid w:val="00613EF9"/>
    <w:rsid w:val="006174CA"/>
    <w:rsid w:val="00617766"/>
    <w:rsid w:val="00621492"/>
    <w:rsid w:val="0062235E"/>
    <w:rsid w:val="006268E3"/>
    <w:rsid w:val="00627050"/>
    <w:rsid w:val="0062723C"/>
    <w:rsid w:val="006320D2"/>
    <w:rsid w:val="006324DF"/>
    <w:rsid w:val="006331B1"/>
    <w:rsid w:val="00633B4C"/>
    <w:rsid w:val="0063630F"/>
    <w:rsid w:val="00640BCC"/>
    <w:rsid w:val="00642630"/>
    <w:rsid w:val="00642916"/>
    <w:rsid w:val="00643A40"/>
    <w:rsid w:val="00655B48"/>
    <w:rsid w:val="00657695"/>
    <w:rsid w:val="00660760"/>
    <w:rsid w:val="00660AB3"/>
    <w:rsid w:val="00662BB2"/>
    <w:rsid w:val="006646CF"/>
    <w:rsid w:val="00670794"/>
    <w:rsid w:val="0067137A"/>
    <w:rsid w:val="00672BC5"/>
    <w:rsid w:val="006777F1"/>
    <w:rsid w:val="006817B9"/>
    <w:rsid w:val="00681C93"/>
    <w:rsid w:val="00683A06"/>
    <w:rsid w:val="00685F68"/>
    <w:rsid w:val="00692007"/>
    <w:rsid w:val="00695E4B"/>
    <w:rsid w:val="006961D7"/>
    <w:rsid w:val="006A16AD"/>
    <w:rsid w:val="006A5D97"/>
    <w:rsid w:val="006A7EB8"/>
    <w:rsid w:val="006B0545"/>
    <w:rsid w:val="006B067B"/>
    <w:rsid w:val="006B0C04"/>
    <w:rsid w:val="006B163E"/>
    <w:rsid w:val="006B3F1C"/>
    <w:rsid w:val="006B49E7"/>
    <w:rsid w:val="006B500B"/>
    <w:rsid w:val="006B6E11"/>
    <w:rsid w:val="006B73EA"/>
    <w:rsid w:val="006C028F"/>
    <w:rsid w:val="006C1CE8"/>
    <w:rsid w:val="006C2678"/>
    <w:rsid w:val="006C2B67"/>
    <w:rsid w:val="006C448E"/>
    <w:rsid w:val="006C6C8D"/>
    <w:rsid w:val="006C7133"/>
    <w:rsid w:val="006C79D8"/>
    <w:rsid w:val="006D30ED"/>
    <w:rsid w:val="006D6220"/>
    <w:rsid w:val="006D6C2E"/>
    <w:rsid w:val="006D7A58"/>
    <w:rsid w:val="006E0489"/>
    <w:rsid w:val="006E241C"/>
    <w:rsid w:val="006E2C4C"/>
    <w:rsid w:val="006E4D82"/>
    <w:rsid w:val="006E61BC"/>
    <w:rsid w:val="006E6BF0"/>
    <w:rsid w:val="006F280F"/>
    <w:rsid w:val="006F2EA1"/>
    <w:rsid w:val="006F3DF9"/>
    <w:rsid w:val="006F4EEF"/>
    <w:rsid w:val="006F5F8D"/>
    <w:rsid w:val="0070157A"/>
    <w:rsid w:val="00706264"/>
    <w:rsid w:val="0070631F"/>
    <w:rsid w:val="007101F8"/>
    <w:rsid w:val="0071142D"/>
    <w:rsid w:val="00712FB9"/>
    <w:rsid w:val="00720EC1"/>
    <w:rsid w:val="00721481"/>
    <w:rsid w:val="00721F19"/>
    <w:rsid w:val="00723C62"/>
    <w:rsid w:val="007254F4"/>
    <w:rsid w:val="007258C8"/>
    <w:rsid w:val="00726512"/>
    <w:rsid w:val="00730250"/>
    <w:rsid w:val="0073124B"/>
    <w:rsid w:val="00731952"/>
    <w:rsid w:val="00741114"/>
    <w:rsid w:val="00742C26"/>
    <w:rsid w:val="007433E0"/>
    <w:rsid w:val="007459C7"/>
    <w:rsid w:val="00745F6B"/>
    <w:rsid w:val="00745FD8"/>
    <w:rsid w:val="00746B12"/>
    <w:rsid w:val="00755675"/>
    <w:rsid w:val="007579B4"/>
    <w:rsid w:val="0076154A"/>
    <w:rsid w:val="0076482F"/>
    <w:rsid w:val="00764AB7"/>
    <w:rsid w:val="00765757"/>
    <w:rsid w:val="007660A6"/>
    <w:rsid w:val="00766255"/>
    <w:rsid w:val="00766E75"/>
    <w:rsid w:val="00767540"/>
    <w:rsid w:val="007704DE"/>
    <w:rsid w:val="00771216"/>
    <w:rsid w:val="007732D7"/>
    <w:rsid w:val="007738CD"/>
    <w:rsid w:val="0077563C"/>
    <w:rsid w:val="00775F26"/>
    <w:rsid w:val="007775B2"/>
    <w:rsid w:val="007810F1"/>
    <w:rsid w:val="00781FF7"/>
    <w:rsid w:val="00782A74"/>
    <w:rsid w:val="00786B46"/>
    <w:rsid w:val="00792A18"/>
    <w:rsid w:val="00792A84"/>
    <w:rsid w:val="00796783"/>
    <w:rsid w:val="007A1EC0"/>
    <w:rsid w:val="007A303E"/>
    <w:rsid w:val="007A50A0"/>
    <w:rsid w:val="007A7365"/>
    <w:rsid w:val="007B0688"/>
    <w:rsid w:val="007B0DD4"/>
    <w:rsid w:val="007B2D05"/>
    <w:rsid w:val="007B38E2"/>
    <w:rsid w:val="007B3B82"/>
    <w:rsid w:val="007B4A28"/>
    <w:rsid w:val="007B7433"/>
    <w:rsid w:val="007B745A"/>
    <w:rsid w:val="007C215C"/>
    <w:rsid w:val="007C475D"/>
    <w:rsid w:val="007C7C95"/>
    <w:rsid w:val="007D05FC"/>
    <w:rsid w:val="007D2BE9"/>
    <w:rsid w:val="007D416E"/>
    <w:rsid w:val="007D467C"/>
    <w:rsid w:val="007D4D0C"/>
    <w:rsid w:val="007D5592"/>
    <w:rsid w:val="007D6442"/>
    <w:rsid w:val="007E2A15"/>
    <w:rsid w:val="007E3017"/>
    <w:rsid w:val="007F4006"/>
    <w:rsid w:val="007F508D"/>
    <w:rsid w:val="007F62FC"/>
    <w:rsid w:val="007F776E"/>
    <w:rsid w:val="008008C7"/>
    <w:rsid w:val="00801AF5"/>
    <w:rsid w:val="00802023"/>
    <w:rsid w:val="00805744"/>
    <w:rsid w:val="00810AD5"/>
    <w:rsid w:val="00812BC6"/>
    <w:rsid w:val="00813861"/>
    <w:rsid w:val="00813A3E"/>
    <w:rsid w:val="00815E13"/>
    <w:rsid w:val="008176BA"/>
    <w:rsid w:val="0083464B"/>
    <w:rsid w:val="00835320"/>
    <w:rsid w:val="00835DDC"/>
    <w:rsid w:val="00836F4F"/>
    <w:rsid w:val="00840F14"/>
    <w:rsid w:val="00843C40"/>
    <w:rsid w:val="00844401"/>
    <w:rsid w:val="0084451C"/>
    <w:rsid w:val="00845BA2"/>
    <w:rsid w:val="00851358"/>
    <w:rsid w:val="0085445D"/>
    <w:rsid w:val="00857B67"/>
    <w:rsid w:val="00861542"/>
    <w:rsid w:val="00863B75"/>
    <w:rsid w:val="008640C5"/>
    <w:rsid w:val="00865223"/>
    <w:rsid w:val="00870A51"/>
    <w:rsid w:val="0087159E"/>
    <w:rsid w:val="00875A5F"/>
    <w:rsid w:val="00880092"/>
    <w:rsid w:val="00885F1E"/>
    <w:rsid w:val="008938CD"/>
    <w:rsid w:val="008947F2"/>
    <w:rsid w:val="008955C9"/>
    <w:rsid w:val="00896D20"/>
    <w:rsid w:val="0089765C"/>
    <w:rsid w:val="0089768D"/>
    <w:rsid w:val="008A101D"/>
    <w:rsid w:val="008A10D0"/>
    <w:rsid w:val="008A340F"/>
    <w:rsid w:val="008A3FD6"/>
    <w:rsid w:val="008A4484"/>
    <w:rsid w:val="008A52E0"/>
    <w:rsid w:val="008A6A06"/>
    <w:rsid w:val="008A6DD5"/>
    <w:rsid w:val="008A7DCE"/>
    <w:rsid w:val="008B34DB"/>
    <w:rsid w:val="008B49DF"/>
    <w:rsid w:val="008B5235"/>
    <w:rsid w:val="008C1182"/>
    <w:rsid w:val="008C497F"/>
    <w:rsid w:val="008C4D89"/>
    <w:rsid w:val="008C63CB"/>
    <w:rsid w:val="008D001F"/>
    <w:rsid w:val="008D1292"/>
    <w:rsid w:val="008D47D1"/>
    <w:rsid w:val="008D57E3"/>
    <w:rsid w:val="008D6044"/>
    <w:rsid w:val="008D6062"/>
    <w:rsid w:val="008E013C"/>
    <w:rsid w:val="008E074C"/>
    <w:rsid w:val="008E10C2"/>
    <w:rsid w:val="008E15B4"/>
    <w:rsid w:val="008E1947"/>
    <w:rsid w:val="008E1A9F"/>
    <w:rsid w:val="008F0C59"/>
    <w:rsid w:val="008F4662"/>
    <w:rsid w:val="008F486E"/>
    <w:rsid w:val="00900369"/>
    <w:rsid w:val="009003AB"/>
    <w:rsid w:val="0090151D"/>
    <w:rsid w:val="009028D8"/>
    <w:rsid w:val="00905B8F"/>
    <w:rsid w:val="00906EA1"/>
    <w:rsid w:val="00916E96"/>
    <w:rsid w:val="00917115"/>
    <w:rsid w:val="009210CD"/>
    <w:rsid w:val="009216D5"/>
    <w:rsid w:val="009247AB"/>
    <w:rsid w:val="0092486D"/>
    <w:rsid w:val="009256BB"/>
    <w:rsid w:val="009264E6"/>
    <w:rsid w:val="0093077E"/>
    <w:rsid w:val="00930F3E"/>
    <w:rsid w:val="0093248E"/>
    <w:rsid w:val="009337B4"/>
    <w:rsid w:val="00934183"/>
    <w:rsid w:val="009363C7"/>
    <w:rsid w:val="0093750B"/>
    <w:rsid w:val="00940622"/>
    <w:rsid w:val="0094146D"/>
    <w:rsid w:val="00941DA3"/>
    <w:rsid w:val="009422B1"/>
    <w:rsid w:val="0095091C"/>
    <w:rsid w:val="00950BA7"/>
    <w:rsid w:val="00953239"/>
    <w:rsid w:val="0095403B"/>
    <w:rsid w:val="0095588A"/>
    <w:rsid w:val="00961EB4"/>
    <w:rsid w:val="00962741"/>
    <w:rsid w:val="0096360F"/>
    <w:rsid w:val="009638AC"/>
    <w:rsid w:val="00963FA8"/>
    <w:rsid w:val="00964A4F"/>
    <w:rsid w:val="0097121B"/>
    <w:rsid w:val="009761CF"/>
    <w:rsid w:val="009804F3"/>
    <w:rsid w:val="00982238"/>
    <w:rsid w:val="00986DE3"/>
    <w:rsid w:val="00991C3F"/>
    <w:rsid w:val="0099730D"/>
    <w:rsid w:val="009978CA"/>
    <w:rsid w:val="009A176F"/>
    <w:rsid w:val="009A17BC"/>
    <w:rsid w:val="009A5519"/>
    <w:rsid w:val="009A65EA"/>
    <w:rsid w:val="009A7854"/>
    <w:rsid w:val="009B28FF"/>
    <w:rsid w:val="009B4100"/>
    <w:rsid w:val="009B7609"/>
    <w:rsid w:val="009C1398"/>
    <w:rsid w:val="009C19A0"/>
    <w:rsid w:val="009C3902"/>
    <w:rsid w:val="009C3C9E"/>
    <w:rsid w:val="009C696E"/>
    <w:rsid w:val="009C6ED2"/>
    <w:rsid w:val="009D2BE4"/>
    <w:rsid w:val="009D2C4D"/>
    <w:rsid w:val="009D3948"/>
    <w:rsid w:val="009D588E"/>
    <w:rsid w:val="009D6AC4"/>
    <w:rsid w:val="009D7D51"/>
    <w:rsid w:val="009F0CF2"/>
    <w:rsid w:val="009F2F88"/>
    <w:rsid w:val="009F429E"/>
    <w:rsid w:val="009F48F4"/>
    <w:rsid w:val="00A021DE"/>
    <w:rsid w:val="00A0353F"/>
    <w:rsid w:val="00A05C33"/>
    <w:rsid w:val="00A20065"/>
    <w:rsid w:val="00A20B1C"/>
    <w:rsid w:val="00A2463E"/>
    <w:rsid w:val="00A30190"/>
    <w:rsid w:val="00A30702"/>
    <w:rsid w:val="00A33233"/>
    <w:rsid w:val="00A33454"/>
    <w:rsid w:val="00A3461E"/>
    <w:rsid w:val="00A35D11"/>
    <w:rsid w:val="00A401A3"/>
    <w:rsid w:val="00A41D1C"/>
    <w:rsid w:val="00A43278"/>
    <w:rsid w:val="00A45215"/>
    <w:rsid w:val="00A526A6"/>
    <w:rsid w:val="00A5279E"/>
    <w:rsid w:val="00A54EBF"/>
    <w:rsid w:val="00A54F5B"/>
    <w:rsid w:val="00A560A4"/>
    <w:rsid w:val="00A57E11"/>
    <w:rsid w:val="00A61A54"/>
    <w:rsid w:val="00A640EF"/>
    <w:rsid w:val="00A715C5"/>
    <w:rsid w:val="00A71CD6"/>
    <w:rsid w:val="00A731D5"/>
    <w:rsid w:val="00A73B1F"/>
    <w:rsid w:val="00A73CFA"/>
    <w:rsid w:val="00A74304"/>
    <w:rsid w:val="00A764CF"/>
    <w:rsid w:val="00A82B97"/>
    <w:rsid w:val="00A83F46"/>
    <w:rsid w:val="00A8544A"/>
    <w:rsid w:val="00A85854"/>
    <w:rsid w:val="00A875E6"/>
    <w:rsid w:val="00A92AF1"/>
    <w:rsid w:val="00A978A5"/>
    <w:rsid w:val="00AA0BC9"/>
    <w:rsid w:val="00AA332C"/>
    <w:rsid w:val="00AA669A"/>
    <w:rsid w:val="00AA72FC"/>
    <w:rsid w:val="00AB371D"/>
    <w:rsid w:val="00AC03A7"/>
    <w:rsid w:val="00AC3CC6"/>
    <w:rsid w:val="00AC4C47"/>
    <w:rsid w:val="00AC73B6"/>
    <w:rsid w:val="00AD3B52"/>
    <w:rsid w:val="00AD3FFC"/>
    <w:rsid w:val="00AD6B37"/>
    <w:rsid w:val="00AD6B6B"/>
    <w:rsid w:val="00AD79AE"/>
    <w:rsid w:val="00AE21A8"/>
    <w:rsid w:val="00AE4485"/>
    <w:rsid w:val="00AE48B3"/>
    <w:rsid w:val="00AE4955"/>
    <w:rsid w:val="00AF2D03"/>
    <w:rsid w:val="00AF483C"/>
    <w:rsid w:val="00AF4FA9"/>
    <w:rsid w:val="00AF6656"/>
    <w:rsid w:val="00AF724C"/>
    <w:rsid w:val="00AF7E85"/>
    <w:rsid w:val="00B0044C"/>
    <w:rsid w:val="00B0395D"/>
    <w:rsid w:val="00B04DE7"/>
    <w:rsid w:val="00B06625"/>
    <w:rsid w:val="00B1039B"/>
    <w:rsid w:val="00B11231"/>
    <w:rsid w:val="00B11EF2"/>
    <w:rsid w:val="00B12108"/>
    <w:rsid w:val="00B13CC0"/>
    <w:rsid w:val="00B14A77"/>
    <w:rsid w:val="00B14ED2"/>
    <w:rsid w:val="00B158CA"/>
    <w:rsid w:val="00B1745A"/>
    <w:rsid w:val="00B20CD5"/>
    <w:rsid w:val="00B21DDD"/>
    <w:rsid w:val="00B23F1B"/>
    <w:rsid w:val="00B307C6"/>
    <w:rsid w:val="00B30B5B"/>
    <w:rsid w:val="00B33F9D"/>
    <w:rsid w:val="00B34702"/>
    <w:rsid w:val="00B34D9E"/>
    <w:rsid w:val="00B4011C"/>
    <w:rsid w:val="00B43521"/>
    <w:rsid w:val="00B437E2"/>
    <w:rsid w:val="00B45345"/>
    <w:rsid w:val="00B46D6B"/>
    <w:rsid w:val="00B52B2B"/>
    <w:rsid w:val="00B53ABB"/>
    <w:rsid w:val="00B55544"/>
    <w:rsid w:val="00B63D06"/>
    <w:rsid w:val="00B6537F"/>
    <w:rsid w:val="00B666F3"/>
    <w:rsid w:val="00B66B9F"/>
    <w:rsid w:val="00B7101C"/>
    <w:rsid w:val="00B711E6"/>
    <w:rsid w:val="00B727C6"/>
    <w:rsid w:val="00B72E6E"/>
    <w:rsid w:val="00B737EE"/>
    <w:rsid w:val="00B73B0D"/>
    <w:rsid w:val="00B75F42"/>
    <w:rsid w:val="00B76131"/>
    <w:rsid w:val="00B76680"/>
    <w:rsid w:val="00B82432"/>
    <w:rsid w:val="00B83EC8"/>
    <w:rsid w:val="00B9070A"/>
    <w:rsid w:val="00B912EA"/>
    <w:rsid w:val="00B9132E"/>
    <w:rsid w:val="00B91FE9"/>
    <w:rsid w:val="00B94B47"/>
    <w:rsid w:val="00B9779F"/>
    <w:rsid w:val="00BA05C2"/>
    <w:rsid w:val="00BA0A4D"/>
    <w:rsid w:val="00BA10C3"/>
    <w:rsid w:val="00BA1AB4"/>
    <w:rsid w:val="00BA1E7F"/>
    <w:rsid w:val="00BA3ADF"/>
    <w:rsid w:val="00BA3E0C"/>
    <w:rsid w:val="00BA78EE"/>
    <w:rsid w:val="00BB104B"/>
    <w:rsid w:val="00BB1C98"/>
    <w:rsid w:val="00BB4536"/>
    <w:rsid w:val="00BB4F46"/>
    <w:rsid w:val="00BB57BD"/>
    <w:rsid w:val="00BB6A5A"/>
    <w:rsid w:val="00BB7FB1"/>
    <w:rsid w:val="00BC16AE"/>
    <w:rsid w:val="00BC3652"/>
    <w:rsid w:val="00BC746F"/>
    <w:rsid w:val="00BC7E61"/>
    <w:rsid w:val="00BD184E"/>
    <w:rsid w:val="00BD23DA"/>
    <w:rsid w:val="00BD2DCF"/>
    <w:rsid w:val="00BD4D49"/>
    <w:rsid w:val="00BE05E3"/>
    <w:rsid w:val="00BE1F2A"/>
    <w:rsid w:val="00BE2F1E"/>
    <w:rsid w:val="00BE467E"/>
    <w:rsid w:val="00BF07F9"/>
    <w:rsid w:val="00BF10E9"/>
    <w:rsid w:val="00BF3515"/>
    <w:rsid w:val="00BF3BA5"/>
    <w:rsid w:val="00BF756C"/>
    <w:rsid w:val="00C0111C"/>
    <w:rsid w:val="00C01E74"/>
    <w:rsid w:val="00C04226"/>
    <w:rsid w:val="00C04478"/>
    <w:rsid w:val="00C11F3C"/>
    <w:rsid w:val="00C12F03"/>
    <w:rsid w:val="00C13C31"/>
    <w:rsid w:val="00C17310"/>
    <w:rsid w:val="00C17592"/>
    <w:rsid w:val="00C211C6"/>
    <w:rsid w:val="00C2126A"/>
    <w:rsid w:val="00C22B93"/>
    <w:rsid w:val="00C2385A"/>
    <w:rsid w:val="00C249EE"/>
    <w:rsid w:val="00C25415"/>
    <w:rsid w:val="00C25A16"/>
    <w:rsid w:val="00C27212"/>
    <w:rsid w:val="00C272A9"/>
    <w:rsid w:val="00C27E78"/>
    <w:rsid w:val="00C30485"/>
    <w:rsid w:val="00C316BB"/>
    <w:rsid w:val="00C31F91"/>
    <w:rsid w:val="00C3475A"/>
    <w:rsid w:val="00C41C68"/>
    <w:rsid w:val="00C43466"/>
    <w:rsid w:val="00C525E6"/>
    <w:rsid w:val="00C5588D"/>
    <w:rsid w:val="00C5696C"/>
    <w:rsid w:val="00C6044A"/>
    <w:rsid w:val="00C61C7E"/>
    <w:rsid w:val="00C65772"/>
    <w:rsid w:val="00C72072"/>
    <w:rsid w:val="00C72177"/>
    <w:rsid w:val="00C72785"/>
    <w:rsid w:val="00C759FB"/>
    <w:rsid w:val="00C80AA3"/>
    <w:rsid w:val="00C80D72"/>
    <w:rsid w:val="00C82AE1"/>
    <w:rsid w:val="00C82CD8"/>
    <w:rsid w:val="00C83131"/>
    <w:rsid w:val="00C857DF"/>
    <w:rsid w:val="00C901D5"/>
    <w:rsid w:val="00C958BE"/>
    <w:rsid w:val="00CA1ED2"/>
    <w:rsid w:val="00CA352F"/>
    <w:rsid w:val="00CA5CBA"/>
    <w:rsid w:val="00CA67F3"/>
    <w:rsid w:val="00CB0A66"/>
    <w:rsid w:val="00CB0AD0"/>
    <w:rsid w:val="00CB1EF9"/>
    <w:rsid w:val="00CB55F2"/>
    <w:rsid w:val="00CB7ECE"/>
    <w:rsid w:val="00CC0D1A"/>
    <w:rsid w:val="00CC1D53"/>
    <w:rsid w:val="00CC6D95"/>
    <w:rsid w:val="00CC7108"/>
    <w:rsid w:val="00CC7C36"/>
    <w:rsid w:val="00CD1EC9"/>
    <w:rsid w:val="00CD4977"/>
    <w:rsid w:val="00CD5AED"/>
    <w:rsid w:val="00CD72DB"/>
    <w:rsid w:val="00CE0087"/>
    <w:rsid w:val="00CE268B"/>
    <w:rsid w:val="00CE587A"/>
    <w:rsid w:val="00CE6471"/>
    <w:rsid w:val="00CF4EF9"/>
    <w:rsid w:val="00CF6039"/>
    <w:rsid w:val="00CF6358"/>
    <w:rsid w:val="00D02D33"/>
    <w:rsid w:val="00D06430"/>
    <w:rsid w:val="00D07C54"/>
    <w:rsid w:val="00D14E03"/>
    <w:rsid w:val="00D15A2E"/>
    <w:rsid w:val="00D17EAE"/>
    <w:rsid w:val="00D207D5"/>
    <w:rsid w:val="00D20B13"/>
    <w:rsid w:val="00D23572"/>
    <w:rsid w:val="00D3088B"/>
    <w:rsid w:val="00D34659"/>
    <w:rsid w:val="00D4125F"/>
    <w:rsid w:val="00D41DFA"/>
    <w:rsid w:val="00D42D18"/>
    <w:rsid w:val="00D4438B"/>
    <w:rsid w:val="00D475E2"/>
    <w:rsid w:val="00D51E79"/>
    <w:rsid w:val="00D5538A"/>
    <w:rsid w:val="00D56971"/>
    <w:rsid w:val="00D60E95"/>
    <w:rsid w:val="00D62EA8"/>
    <w:rsid w:val="00D63EDF"/>
    <w:rsid w:val="00D65D2B"/>
    <w:rsid w:val="00D65ED5"/>
    <w:rsid w:val="00D66C92"/>
    <w:rsid w:val="00D67520"/>
    <w:rsid w:val="00D6755D"/>
    <w:rsid w:val="00D73769"/>
    <w:rsid w:val="00D80CB6"/>
    <w:rsid w:val="00D80EAE"/>
    <w:rsid w:val="00D814A7"/>
    <w:rsid w:val="00D8392E"/>
    <w:rsid w:val="00D8685B"/>
    <w:rsid w:val="00D870F9"/>
    <w:rsid w:val="00D876C1"/>
    <w:rsid w:val="00D878D9"/>
    <w:rsid w:val="00D87C3D"/>
    <w:rsid w:val="00D914A6"/>
    <w:rsid w:val="00D96997"/>
    <w:rsid w:val="00D976EC"/>
    <w:rsid w:val="00DA00B3"/>
    <w:rsid w:val="00DA3377"/>
    <w:rsid w:val="00DA61E6"/>
    <w:rsid w:val="00DB11F8"/>
    <w:rsid w:val="00DB22EA"/>
    <w:rsid w:val="00DB5264"/>
    <w:rsid w:val="00DC19E6"/>
    <w:rsid w:val="00DC5369"/>
    <w:rsid w:val="00DC54FA"/>
    <w:rsid w:val="00DD3CC0"/>
    <w:rsid w:val="00DD454F"/>
    <w:rsid w:val="00DD6738"/>
    <w:rsid w:val="00DE16B0"/>
    <w:rsid w:val="00DE6FD0"/>
    <w:rsid w:val="00DF06B6"/>
    <w:rsid w:val="00DF2A57"/>
    <w:rsid w:val="00DF363E"/>
    <w:rsid w:val="00DF42BF"/>
    <w:rsid w:val="00DF4C20"/>
    <w:rsid w:val="00DF5769"/>
    <w:rsid w:val="00DF78BE"/>
    <w:rsid w:val="00DF7C27"/>
    <w:rsid w:val="00E04559"/>
    <w:rsid w:val="00E0708A"/>
    <w:rsid w:val="00E10880"/>
    <w:rsid w:val="00E14656"/>
    <w:rsid w:val="00E14874"/>
    <w:rsid w:val="00E1622D"/>
    <w:rsid w:val="00E21EF8"/>
    <w:rsid w:val="00E224BE"/>
    <w:rsid w:val="00E227BC"/>
    <w:rsid w:val="00E31814"/>
    <w:rsid w:val="00E31CB3"/>
    <w:rsid w:val="00E32599"/>
    <w:rsid w:val="00E426AF"/>
    <w:rsid w:val="00E426CD"/>
    <w:rsid w:val="00E50CD7"/>
    <w:rsid w:val="00E50D34"/>
    <w:rsid w:val="00E52DF4"/>
    <w:rsid w:val="00E53DE2"/>
    <w:rsid w:val="00E60076"/>
    <w:rsid w:val="00E608D5"/>
    <w:rsid w:val="00E60CED"/>
    <w:rsid w:val="00E615E0"/>
    <w:rsid w:val="00E61EBC"/>
    <w:rsid w:val="00E62B56"/>
    <w:rsid w:val="00E63AF3"/>
    <w:rsid w:val="00E672EC"/>
    <w:rsid w:val="00E67E80"/>
    <w:rsid w:val="00E72AB9"/>
    <w:rsid w:val="00E74093"/>
    <w:rsid w:val="00E74660"/>
    <w:rsid w:val="00E74B81"/>
    <w:rsid w:val="00E760AA"/>
    <w:rsid w:val="00E76FC4"/>
    <w:rsid w:val="00E80CAA"/>
    <w:rsid w:val="00E812CF"/>
    <w:rsid w:val="00E846D3"/>
    <w:rsid w:val="00E91361"/>
    <w:rsid w:val="00E97A28"/>
    <w:rsid w:val="00EA14FC"/>
    <w:rsid w:val="00EA1ABA"/>
    <w:rsid w:val="00EA2116"/>
    <w:rsid w:val="00EA3B9A"/>
    <w:rsid w:val="00EB0345"/>
    <w:rsid w:val="00EB0936"/>
    <w:rsid w:val="00EB128B"/>
    <w:rsid w:val="00EB779F"/>
    <w:rsid w:val="00EC00A8"/>
    <w:rsid w:val="00EC01D7"/>
    <w:rsid w:val="00EC2016"/>
    <w:rsid w:val="00EC2BB7"/>
    <w:rsid w:val="00EC544B"/>
    <w:rsid w:val="00EC6D65"/>
    <w:rsid w:val="00ED4F4F"/>
    <w:rsid w:val="00ED500D"/>
    <w:rsid w:val="00ED7D93"/>
    <w:rsid w:val="00EE66E2"/>
    <w:rsid w:val="00EF0E4D"/>
    <w:rsid w:val="00EF4609"/>
    <w:rsid w:val="00EF4BE8"/>
    <w:rsid w:val="00EF5C4C"/>
    <w:rsid w:val="00F01477"/>
    <w:rsid w:val="00F04440"/>
    <w:rsid w:val="00F0531D"/>
    <w:rsid w:val="00F06866"/>
    <w:rsid w:val="00F06E65"/>
    <w:rsid w:val="00F140C9"/>
    <w:rsid w:val="00F152F0"/>
    <w:rsid w:val="00F20C58"/>
    <w:rsid w:val="00F213A4"/>
    <w:rsid w:val="00F215B3"/>
    <w:rsid w:val="00F21F71"/>
    <w:rsid w:val="00F26DED"/>
    <w:rsid w:val="00F271CB"/>
    <w:rsid w:val="00F27304"/>
    <w:rsid w:val="00F27690"/>
    <w:rsid w:val="00F305C1"/>
    <w:rsid w:val="00F30A07"/>
    <w:rsid w:val="00F32709"/>
    <w:rsid w:val="00F32922"/>
    <w:rsid w:val="00F32D0E"/>
    <w:rsid w:val="00F35919"/>
    <w:rsid w:val="00F414F9"/>
    <w:rsid w:val="00F42C6E"/>
    <w:rsid w:val="00F4624B"/>
    <w:rsid w:val="00F46992"/>
    <w:rsid w:val="00F46C4D"/>
    <w:rsid w:val="00F46FA0"/>
    <w:rsid w:val="00F502D1"/>
    <w:rsid w:val="00F572CE"/>
    <w:rsid w:val="00F57597"/>
    <w:rsid w:val="00F57EB0"/>
    <w:rsid w:val="00F57FED"/>
    <w:rsid w:val="00F647C4"/>
    <w:rsid w:val="00F64824"/>
    <w:rsid w:val="00F738AB"/>
    <w:rsid w:val="00F76F66"/>
    <w:rsid w:val="00F845B6"/>
    <w:rsid w:val="00F93E23"/>
    <w:rsid w:val="00F94ED0"/>
    <w:rsid w:val="00F955CC"/>
    <w:rsid w:val="00F96B94"/>
    <w:rsid w:val="00FA6EF5"/>
    <w:rsid w:val="00FB0D00"/>
    <w:rsid w:val="00FB1C8A"/>
    <w:rsid w:val="00FB2C1C"/>
    <w:rsid w:val="00FB3058"/>
    <w:rsid w:val="00FB33C6"/>
    <w:rsid w:val="00FB49A8"/>
    <w:rsid w:val="00FC4865"/>
    <w:rsid w:val="00FD2D71"/>
    <w:rsid w:val="00FD44B7"/>
    <w:rsid w:val="00FD6C0F"/>
    <w:rsid w:val="00FE0C9D"/>
    <w:rsid w:val="00FE0DF7"/>
    <w:rsid w:val="00FE196C"/>
    <w:rsid w:val="00FE28E1"/>
    <w:rsid w:val="00FE5225"/>
    <w:rsid w:val="00FE5FBA"/>
    <w:rsid w:val="00FF0298"/>
    <w:rsid w:val="00FF07CC"/>
    <w:rsid w:val="00FF0FEE"/>
    <w:rsid w:val="00FF185B"/>
    <w:rsid w:val="00FF526B"/>
    <w:rsid w:val="00FF5907"/>
    <w:rsid w:val="00FF6770"/>
    <w:rsid w:val="0209C4F8"/>
    <w:rsid w:val="02D2E849"/>
    <w:rsid w:val="07A6596C"/>
    <w:rsid w:val="0AB8C9AD"/>
    <w:rsid w:val="0D145F9F"/>
    <w:rsid w:val="0EE84800"/>
    <w:rsid w:val="0F78418F"/>
    <w:rsid w:val="13772817"/>
    <w:rsid w:val="18E05881"/>
    <w:rsid w:val="1F065950"/>
    <w:rsid w:val="21D2D482"/>
    <w:rsid w:val="422B71D5"/>
    <w:rsid w:val="4C50A772"/>
    <w:rsid w:val="4DF278A9"/>
    <w:rsid w:val="55959084"/>
    <w:rsid w:val="55FA090E"/>
    <w:rsid w:val="5AD0788C"/>
    <w:rsid w:val="5C2765A2"/>
    <w:rsid w:val="62C79836"/>
    <w:rsid w:val="6BE9D073"/>
    <w:rsid w:val="6C66D237"/>
    <w:rsid w:val="6F7D3636"/>
    <w:rsid w:val="6FA139F6"/>
    <w:rsid w:val="7450A759"/>
    <w:rsid w:val="787C0B0E"/>
    <w:rsid w:val="7A17DB6F"/>
    <w:rsid w:val="7B79D338"/>
    <w:rsid w:val="7D79E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8FD8A59A-7637-447A-A49A-26D9DC3C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D7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835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4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8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F3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98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F3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AD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FFC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FFC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2C2E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8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51"/>
    <w:rPr>
      <w:rFonts w:ascii="Segoe UI" w:eastAsia="Calibri" w:hAnsi="Segoe UI" w:cs="Segoe UI"/>
      <w:sz w:val="18"/>
      <w:szCs w:val="1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83532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415" TargetMode="External"/><Relationship Id="rId18" Type="http://schemas.openxmlformats.org/officeDocument/2006/relationships/hyperlink" Target="https://hko.srce.hr/registar/skup-ishoda-ucenja/detalji/12521" TargetMode="External"/><Relationship Id="rId26" Type="http://schemas.openxmlformats.org/officeDocument/2006/relationships/hyperlink" Target="https://www.hup.hr/EasyEdit/UserFiles/Ivana%20Zlatari%C4%87/prirucnik-za-praktican-rad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241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413" TargetMode="External"/><Relationship Id="rId17" Type="http://schemas.openxmlformats.org/officeDocument/2006/relationships/hyperlink" Target="https://hko.srce.hr/registar/skup-ishoda-ucenja/detalji/12412" TargetMode="External"/><Relationship Id="rId25" Type="http://schemas.openxmlformats.org/officeDocument/2006/relationships/hyperlink" Target="https://www.mingo.hr/public/Poduzetnistvo/112-vodic-zastita-na-radu-lowresweb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2417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49" TargetMode="External"/><Relationship Id="rId24" Type="http://schemas.openxmlformats.org/officeDocument/2006/relationships/hyperlink" Target="https://zastitanaradu.com.hr/novosti/Opasnosti-kod-rada-na-racunalu-i-pravilne-vjezbe-1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12521" TargetMode="External"/><Relationship Id="rId23" Type="http://schemas.openxmlformats.org/officeDocument/2006/relationships/hyperlink" Target="https://hko.srce.hr/registar/skup-ishoda-ucenja/detalji/12417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124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ishoda-ucenja/detalji/12412" TargetMode="External"/><Relationship Id="rId22" Type="http://schemas.openxmlformats.org/officeDocument/2006/relationships/hyperlink" Target="https://hko.srce.hr/registar/skup-ishoda-ucenja/detalji/12521" TargetMode="External"/><Relationship Id="rId27" Type="http://schemas.openxmlformats.org/officeDocument/2006/relationships/hyperlink" Target="https://osha.europa.eu/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1C0F584E939459C6B78EABE67978C" ma:contentTypeVersion="11" ma:contentTypeDescription="Create a new document." ma:contentTypeScope="" ma:versionID="b1bacbfaac931f77839015a9c9582b23">
  <xsd:schema xmlns:xsd="http://www.w3.org/2001/XMLSchema" xmlns:xs="http://www.w3.org/2001/XMLSchema" xmlns:p="http://schemas.microsoft.com/office/2006/metadata/properties" xmlns:ns3="1bacc12b-2fe4-424b-84dd-cf98efe1e6a3" targetNamespace="http://schemas.microsoft.com/office/2006/metadata/properties" ma:root="true" ma:fieldsID="230c7fa65f0c733bd791f9b89b41e4d4" ns3:_="">
    <xsd:import namespace="1bacc12b-2fe4-424b-84dd-cf98efe1e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12b-2fe4-424b-84dd-cf98efe1e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99BB-9BEA-4B36-A27D-184D65990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12b-2fe4-424b-84dd-cf98efe1e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CD1A3-40F2-4C95-82FC-608F18320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0D549-F114-45F6-844E-D9FFF79F66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226513-2E49-4879-BEA1-427C5711A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3887</Words>
  <Characters>22157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29</cp:revision>
  <dcterms:created xsi:type="dcterms:W3CDTF">2025-02-04T08:57:00Z</dcterms:created>
  <dcterms:modified xsi:type="dcterms:W3CDTF">2025-04-16T05:57:00Z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0x0101008EC1C0F584E939459C6B78EABE67978C</vt:lpwstr>
  </property>
</Properties>
</file>