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F455" w14:textId="77777777" w:rsidR="0054042F" w:rsidRPr="00083D08" w:rsidRDefault="0054042F" w:rsidP="0054042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3D08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7B2B8A82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CAEC8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7B69BF1C" w:rsidR="00FB0D00" w:rsidRPr="00AE4955" w:rsidRDefault="002E2B6A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 statističk</w:t>
      </w:r>
      <w:r w:rsidR="00D81420">
        <w:rPr>
          <w:rFonts w:asciiTheme="minorHAnsi" w:hAnsiTheme="minorHAnsi" w:cstheme="minorHAnsi"/>
          <w:b/>
          <w:bCs/>
          <w:sz w:val="48"/>
          <w:szCs w:val="48"/>
        </w:rPr>
        <w:t>a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obrad</w:t>
      </w:r>
      <w:r w:rsidR="00D81420">
        <w:rPr>
          <w:rFonts w:asciiTheme="minorHAnsi" w:hAnsiTheme="minorHAnsi" w:cstheme="minorHAnsi"/>
          <w:b/>
          <w:bCs/>
          <w:sz w:val="48"/>
          <w:szCs w:val="48"/>
        </w:rPr>
        <w:t>a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i prezentiranje podataka</w:t>
      </w:r>
    </w:p>
    <w:p w14:paraId="51D0A16F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0BBCF644" w:rsidR="00FB0D00" w:rsidRDefault="00FB0D00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04553" w14:textId="1BB06AF4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03D866" w14:textId="60919F03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8E2DC0" w14:textId="627DFBA9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62C653A" w14:textId="40342BF3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86E6DD" w14:textId="4E53811A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8CB3F5" w14:textId="54E0C553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B7F1AD" w14:textId="77777777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1517D5" w14:textId="77777777" w:rsidR="00E62722" w:rsidRPr="00AE4955" w:rsidRDefault="00E62722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D90E53E" w14:textId="06703577" w:rsidR="00DA4C31" w:rsidRPr="00AE4955" w:rsidRDefault="00FD3D78" w:rsidP="001038B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EB2EE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5954E15F" w:rsidR="00C759FB" w:rsidRPr="00F919E2" w:rsidRDefault="00C759FB" w:rsidP="00AF2F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OPĆE INFORMACIJE O PROGRAMU OBRAZOVANJA</w:t>
            </w:r>
          </w:p>
          <w:p w14:paraId="1EBD92BE" w14:textId="65242AF9" w:rsidR="00C759FB" w:rsidRPr="00F919E2" w:rsidRDefault="00C759FB" w:rsidP="00AF2F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70177EC6" w:rsidR="00C759FB" w:rsidRPr="00B82788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418FD661" w:rsidR="00C759FB" w:rsidRPr="00F919E2" w:rsidRDefault="00575027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Ekonomija i trgovina 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6DB086E8" w:rsidR="00C759FB" w:rsidRPr="00F919E2" w:rsidRDefault="002E2B6A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E2B6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273D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73D52" w:rsidRPr="00273D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statistička obrada i prezentiranje podataka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2C74104A" w:rsidR="00C759FB" w:rsidRPr="00F919E2" w:rsidRDefault="00575027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15F02E69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3A313AD3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0065044A" w:rsidR="00C759FB" w:rsidRPr="00F919E2" w:rsidRDefault="00C759FB" w:rsidP="009857D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340F3EE4" w14:textId="38414EA0" w:rsidR="00EF3DFC" w:rsidRDefault="00EF3DF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1: Prikupljanje i obrada statističkih podataka u poslovnoj organizaciji (razina 3)</w:t>
            </w:r>
          </w:p>
          <w:p w14:paraId="7A787DB4" w14:textId="045BC7EA" w:rsidR="00EF3DFC" w:rsidRDefault="00EF3DF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2: Statistički brojčani podatci u poslovanju (razina 4)</w:t>
            </w:r>
          </w:p>
          <w:p w14:paraId="5CECCCBF" w14:textId="71B96C2D" w:rsidR="004134E8" w:rsidRPr="004134E8" w:rsidRDefault="004134E8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6728F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</w:t>
            </w:r>
            <w:r w:rsidRPr="004134E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Analiza statističkih podataka u poslovnoj organizaciji</w:t>
            </w:r>
            <w:r w:rsidR="00F9793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(razina 3)</w:t>
            </w:r>
          </w:p>
          <w:p w14:paraId="03779F0C" w14:textId="1F4D2D94" w:rsidR="004134E8" w:rsidRPr="004134E8" w:rsidRDefault="004134E8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6728F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</w:t>
            </w:r>
            <w:r w:rsidRPr="004134E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Osnove poslovne komunikacije</w:t>
            </w:r>
            <w:r w:rsidR="00A7541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(razina 4)</w:t>
            </w:r>
          </w:p>
          <w:p w14:paraId="6B651854" w14:textId="29D96B56" w:rsidR="00C759FB" w:rsidRPr="004134E8" w:rsidRDefault="004134E8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6728F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</w:t>
            </w:r>
            <w:r w:rsidRPr="004134E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Predstavljanje poslovnih podataka računalnom prezentacijom</w:t>
            </w:r>
            <w:r w:rsidR="00A7541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(razina 3)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4D408A6A" w14:textId="693DB571" w:rsidR="00C759FB" w:rsidRDefault="004134E8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 </w:t>
            </w:r>
          </w:p>
          <w:p w14:paraId="7F45550F" w14:textId="0DD2B284" w:rsidR="00EF3DFC" w:rsidRDefault="00EF3DF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1: Prikupljanje i obrada statističkih podataka u poslovnoj organizaciji (</w:t>
            </w:r>
            <w:r w:rsidR="0022004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2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CSVET)</w:t>
            </w:r>
          </w:p>
          <w:p w14:paraId="4BB80278" w14:textId="07D894C9" w:rsidR="00EF3DFC" w:rsidRDefault="00EF3DF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2: Statistički brojčani podatci u poslovanju (</w:t>
            </w:r>
            <w:r w:rsidR="0022004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2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CSVE</w:t>
            </w:r>
            <w:r w:rsidR="0022004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T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  <w:p w14:paraId="529BA047" w14:textId="7A950624" w:rsidR="00F9793E" w:rsidRPr="004134E8" w:rsidRDefault="00F9793E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6728F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</w:t>
            </w:r>
            <w:r w:rsidRPr="004134E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Analiza statističkih podataka u poslovnoj organizaciji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(</w:t>
            </w:r>
            <w:r w:rsidR="0022004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2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CSVET)</w:t>
            </w:r>
          </w:p>
          <w:p w14:paraId="3760B516" w14:textId="328D9BF2" w:rsidR="00F9793E" w:rsidRPr="004134E8" w:rsidRDefault="00F9793E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6728F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</w:t>
            </w:r>
            <w:r w:rsidRPr="004134E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Osnove poslovne komunikacije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(</w:t>
            </w:r>
            <w:r w:rsidR="0022004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1 </w:t>
            </w:r>
            <w:r w:rsidR="00A7541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CSVET)</w:t>
            </w:r>
          </w:p>
          <w:p w14:paraId="29C236E9" w14:textId="0CC1ECD9" w:rsidR="00F9793E" w:rsidRPr="00F919E2" w:rsidRDefault="00F9793E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6728F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</w:t>
            </w:r>
            <w:r w:rsidRPr="004134E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Predstavljanje poslovnih podataka računalnom prezentacijom</w:t>
            </w:r>
            <w:r w:rsidR="00A7541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(</w:t>
            </w:r>
            <w:r w:rsidR="0022004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3 </w:t>
            </w:r>
            <w:r w:rsidR="00A7541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CSVET)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2B0C1117" w:rsidR="00C759FB" w:rsidRPr="0022004A" w:rsidRDefault="00D9461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Ekonomski referent / </w:t>
            </w:r>
            <w:r w:rsidR="00B82788"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konomska referentica</w:t>
            </w:r>
          </w:p>
          <w:p w14:paraId="44231690" w14:textId="21D866F5" w:rsidR="00876EB8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="00876EB8" w:rsidRPr="00167B6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https://hko.srce.hr/registar/standard-zanimanja/detalji/49</w:t>
              </w:r>
            </w:hyperlink>
          </w:p>
          <w:p w14:paraId="4354AD36" w14:textId="77777777" w:rsidR="00D9461C" w:rsidRDefault="00D9461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C62CDB6" w14:textId="59E1FFC4" w:rsidR="00D9461C" w:rsidRDefault="000132E9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="00D9461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31.12.2025.</w:t>
            </w:r>
          </w:p>
          <w:p w14:paraId="5F19FA18" w14:textId="77777777" w:rsidR="00D9461C" w:rsidRDefault="00D9461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97D755" w14:textId="2285CDAF" w:rsidR="00D9461C" w:rsidRDefault="00D9461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1: </w:t>
            </w:r>
            <w:r w:rsidRPr="00D9461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informacijsko-komunikacijskih tehnologija u poslovanju malih i srednjih poduzeća</w:t>
            </w:r>
          </w:p>
          <w:p w14:paraId="02306D9F" w14:textId="3D6B46B2" w:rsidR="00D9461C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D9461C" w:rsidRPr="00167B6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https://hko.srce.hr/registar/skup-kompetencija/detalji/413</w:t>
              </w:r>
            </w:hyperlink>
          </w:p>
          <w:p w14:paraId="055D1FCF" w14:textId="4EE16890" w:rsidR="00D9461C" w:rsidRDefault="00D9461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8752E5C" w14:textId="4C1C8DDF" w:rsidR="00876EB8" w:rsidRPr="0022004A" w:rsidRDefault="00876EB8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Poslovni tajnik / </w:t>
            </w:r>
            <w:r w:rsidR="00163BCD"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</w:t>
            </w:r>
            <w:r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oslovna tajnica </w:t>
            </w:r>
          </w:p>
          <w:p w14:paraId="30DFDB3E" w14:textId="6567B24E" w:rsidR="00876EB8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876EB8" w:rsidRPr="00167B6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https://hko.srce.hr/registar/standard-zanimanja/detalji/280</w:t>
              </w:r>
            </w:hyperlink>
          </w:p>
          <w:p w14:paraId="02D8F08F" w14:textId="56305930" w:rsidR="00876EB8" w:rsidRDefault="00876EB8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7DA7423" w14:textId="629913BD" w:rsidR="00876EB8" w:rsidRDefault="000132E9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 </w:t>
            </w:r>
            <w:r w:rsidR="00876EB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31.12.2026.</w:t>
            </w:r>
          </w:p>
          <w:p w14:paraId="4554D234" w14:textId="6210FA31" w:rsidR="00876EB8" w:rsidRDefault="00876EB8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BF6CA7D" w14:textId="77777777" w:rsidR="003A2535" w:rsidRDefault="00876EB8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SKOMP 2: </w:t>
            </w:r>
            <w:r w:rsidR="003A2535" w:rsidRPr="003A2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Sudjelovanje u analitičkim aktivnostima organizacije</w:t>
            </w:r>
          </w:p>
          <w:p w14:paraId="405B19D2" w14:textId="2D37E23C" w:rsidR="00876EB8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3A2535" w:rsidRPr="00167B6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https://hko.srce.hr/registar/skup-kompetencija/detalji/2343</w:t>
              </w:r>
            </w:hyperlink>
          </w:p>
          <w:p w14:paraId="5CEF3FE4" w14:textId="77777777" w:rsidR="003A2535" w:rsidRDefault="003A2535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08986BEA" w14:textId="56AFDCB8" w:rsidR="00C759FB" w:rsidRPr="0022004A" w:rsidRDefault="00AD7BE0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 Referent za poslovnu ekonomiju / Referentica za poslovnu ekonomiju</w:t>
            </w:r>
          </w:p>
          <w:p w14:paraId="2D176AE9" w14:textId="54925DA9" w:rsidR="00AD7BE0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3A2535" w:rsidRPr="00167B6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https://hko.srce.hr/registar/standard-kvalifikacije/detalji/40</w:t>
              </w:r>
            </w:hyperlink>
          </w:p>
          <w:p w14:paraId="7C38E1D3" w14:textId="77777777" w:rsidR="003A2535" w:rsidRDefault="003A2535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810082F" w14:textId="34E44CD9" w:rsidR="00AD7BE0" w:rsidRDefault="000132E9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 </w:t>
            </w:r>
            <w:r w:rsidR="00AD7B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  <w:p w14:paraId="36E58882" w14:textId="47A35074" w:rsidR="008828A0" w:rsidRDefault="00685FE5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960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Prikupljanje i obrada statističkih podataka u poslovnoj organizaciji</w:t>
            </w:r>
          </w:p>
          <w:p w14:paraId="0069C617" w14:textId="1F225640" w:rsidR="00685FE5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685FE5" w:rsidRPr="009B1DC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https://hko.srce.hr/registar/skup-ishoda-ucenja/detalji/5905</w:t>
              </w:r>
            </w:hyperlink>
          </w:p>
          <w:p w14:paraId="2B5AAC9B" w14:textId="77777777" w:rsidR="00685FE5" w:rsidRDefault="00685FE5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9A69C80" w14:textId="47CEA162" w:rsidR="00685FE5" w:rsidRPr="0009602C" w:rsidRDefault="00685FE5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960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Statistički brojčani podatci u poslovanju</w:t>
            </w:r>
          </w:p>
          <w:p w14:paraId="7D092FAA" w14:textId="7081598D" w:rsidR="0009602C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09602C" w:rsidRPr="009B1DC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https://hko.srce.hr/registar/skup-ishoda-ucenja/detalji/1159</w:t>
              </w:r>
            </w:hyperlink>
          </w:p>
          <w:p w14:paraId="6E3FE8E3" w14:textId="77777777" w:rsidR="00611A7F" w:rsidRDefault="00611A7F" w:rsidP="00611A7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F9C1304" w14:textId="11D9DEAA" w:rsidR="00611A7F" w:rsidRPr="00611A7F" w:rsidRDefault="00611A7F" w:rsidP="00611A7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1A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4: Osnove poslovne komunikacije</w:t>
            </w:r>
          </w:p>
          <w:p w14:paraId="51927BC9" w14:textId="77777777" w:rsidR="00611A7F" w:rsidRDefault="00D3730D" w:rsidP="00611A7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611A7F" w:rsidRPr="009B1DC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https://hko.srce.hr/registar/skup-ishoda-ucenja/detalji/1202</w:t>
              </w:r>
            </w:hyperlink>
          </w:p>
          <w:p w14:paraId="595D4A23" w14:textId="0F67DDC0" w:rsidR="008828A0" w:rsidRPr="0022004A" w:rsidRDefault="008828A0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SK Poslovni tajnik / Poslovna tajnica </w:t>
            </w:r>
          </w:p>
          <w:p w14:paraId="2C60836A" w14:textId="6477EA1E" w:rsidR="008828A0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3A2535" w:rsidRPr="00167B6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https://hko.srce.hr/registar/standard-kvalifikacije/detalji/171</w:t>
              </w:r>
            </w:hyperlink>
          </w:p>
          <w:p w14:paraId="1365CD43" w14:textId="77777777" w:rsidR="00193DC6" w:rsidRDefault="00193DC6" w:rsidP="00A44E3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7D3E8DE" w14:textId="2171520F" w:rsidR="00A44E32" w:rsidRDefault="00A44E32" w:rsidP="00A44E3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44E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Analiza statističkih podataka u poslovnoj organizaciji</w:t>
            </w:r>
          </w:p>
          <w:p w14:paraId="425FDFD4" w14:textId="66FE5AAD" w:rsidR="00A44E32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A44E32" w:rsidRPr="009B1DC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https://hko.srce.hr/registar/skup-ishoda-ucenja/detalji/5906</w:t>
              </w:r>
            </w:hyperlink>
          </w:p>
          <w:p w14:paraId="4356EE4A" w14:textId="143EDE6E" w:rsidR="008828A0" w:rsidRDefault="007832C3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="008828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  <w:p w14:paraId="1CDF567F" w14:textId="77777777" w:rsidR="00F86C16" w:rsidRDefault="00F86C16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423154B" w14:textId="607E5E0D" w:rsidR="00F86C16" w:rsidRPr="0022004A" w:rsidRDefault="00F86C16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00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Operater za unos poslovnih podataka / Operaterka za unos poslovnih podataka</w:t>
            </w:r>
          </w:p>
          <w:p w14:paraId="1DDD38D9" w14:textId="77777777" w:rsidR="00F86C16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F86C16" w:rsidRPr="00005B7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https://hko.srce.hr/registar/standard-kvalifikacije/detalji/85</w:t>
              </w:r>
            </w:hyperlink>
            <w:r w:rsidR="00F86C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BAEF4C8" w14:textId="77777777" w:rsidR="008579FC" w:rsidRDefault="008579F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B04CDA7" w14:textId="3652E62F" w:rsidR="008579FC" w:rsidRPr="007832C3" w:rsidRDefault="008579F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832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Predstavljanje poslovnih podataka računalnom prezentacijom </w:t>
            </w:r>
          </w:p>
          <w:p w14:paraId="58772014" w14:textId="7995883F" w:rsidR="008579FC" w:rsidRDefault="00D3730D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0132E9" w:rsidRPr="009B1DC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https://hko.srce.hr/registar/skup-ishoda-ucenja/detalji/2563</w:t>
              </w:r>
            </w:hyperlink>
          </w:p>
          <w:p w14:paraId="09A441C3" w14:textId="77777777" w:rsidR="000132E9" w:rsidRDefault="000132E9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3B4FF739" w:rsidR="00F86C16" w:rsidRPr="00F919E2" w:rsidRDefault="007832C3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 </w:t>
            </w:r>
            <w:r w:rsidR="00F86C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6B858DA6" w:rsidR="00A7541F" w:rsidRPr="00B82788" w:rsidRDefault="00A7541F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Cjelovita kvalifikacija </w:t>
            </w:r>
            <w:r w:rsidR="00066F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najmanje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razin</w:t>
            </w:r>
            <w:r w:rsidR="00066F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4.1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596A1B34" w14:textId="7D972E69" w:rsidR="00C759FB" w:rsidRPr="00B82788" w:rsidRDefault="00A7541F" w:rsidP="00EB2EE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Stečenih 1</w:t>
            </w:r>
            <w:r w:rsidR="006728FE" w:rsidRPr="00B82788">
              <w:rPr>
                <w:rFonts w:cstheme="minorHAnsi"/>
                <w:iCs/>
                <w:noProof/>
                <w:sz w:val="20"/>
                <w:szCs w:val="20"/>
              </w:rPr>
              <w:t>0</w:t>
            </w: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 xml:space="preserve"> CSVET</w:t>
            </w:r>
          </w:p>
          <w:p w14:paraId="20D2474E" w14:textId="54FAD6DB" w:rsidR="00B82788" w:rsidRPr="00074CAF" w:rsidRDefault="0013224F" w:rsidP="00EB2EE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3224F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(usmenim i/ili pisanim provjerama)</w:t>
            </w:r>
            <w:r w:rsidR="00A7541F"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6864EC" w:rsidRPr="006864EC">
              <w:rPr>
                <w:rFonts w:cstheme="minorHAnsi"/>
                <w:iCs/>
                <w:noProof/>
                <w:sz w:val="20"/>
                <w:szCs w:val="20"/>
              </w:rPr>
              <w:t xml:space="preserve">i vještina polaznika </w:t>
            </w:r>
            <w:r w:rsidR="00585D4E">
              <w:rPr>
                <w:rFonts w:cstheme="minorHAnsi"/>
                <w:iCs/>
                <w:noProof/>
                <w:sz w:val="20"/>
                <w:szCs w:val="20"/>
              </w:rPr>
              <w:t xml:space="preserve">za statističku obradu i prezentiranje podataka </w:t>
            </w:r>
            <w:r w:rsidR="00A7541F" w:rsidRPr="00074CAF">
              <w:rPr>
                <w:rFonts w:cstheme="minorHAnsi"/>
                <w:iCs/>
                <w:noProof/>
                <w:sz w:val="20"/>
                <w:szCs w:val="20"/>
              </w:rPr>
              <w:t>projektnim i problemskim zadacima</w:t>
            </w:r>
            <w:r w:rsidR="00B82788"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1790C">
              <w:rPr>
                <w:rFonts w:cstheme="minorHAnsi"/>
                <w:iCs/>
                <w:noProof/>
                <w:sz w:val="20"/>
                <w:szCs w:val="20"/>
              </w:rPr>
              <w:t>temeljem</w:t>
            </w:r>
            <w:r w:rsidR="00A7541F"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unaprijed određenih kriterija vrednovanja postignuća </w:t>
            </w:r>
          </w:p>
          <w:p w14:paraId="46289608" w14:textId="77777777" w:rsidR="00A7541F" w:rsidRPr="00B82788" w:rsidRDefault="00A7541F" w:rsidP="00EB2EE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O završenoj provjeri vodi se zapisnik i provodi ju tročlano povjerenstvo.</w:t>
            </w:r>
          </w:p>
          <w:p w14:paraId="34480BBF" w14:textId="45282BBD" w:rsidR="00A7541F" w:rsidRPr="00B82788" w:rsidRDefault="00A7541F" w:rsidP="00EB2EE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provjere izdaje se Uvjerene o osposobljavanju za stjecanje </w:t>
            </w:r>
            <w:r w:rsidR="00206D59" w:rsidRPr="00206D59">
              <w:rPr>
                <w:rFonts w:cstheme="minorHAnsi"/>
                <w:iCs/>
                <w:noProof/>
                <w:sz w:val="20"/>
                <w:szCs w:val="20"/>
              </w:rPr>
              <w:t>mikrokvalifikacije statistička obrada i prezentiranje podataka</w:t>
            </w:r>
            <w:r w:rsidR="00206D5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D32FCAB" w14:textId="4F89ED85" w:rsidR="00C50BD0" w:rsidRPr="00B82788" w:rsidRDefault="00C50BD0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</w:t>
            </w:r>
            <w:r w:rsidR="00206D59" w:rsidRPr="00206D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mikrokvalifikacije statistička obrada i prezentiranje podataka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DF46D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</w:t>
            </w:r>
            <w:r w:rsid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50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1E4D6C8A" w14:textId="3F908BED" w:rsidR="00C50BD0" w:rsidRPr="00B82788" w:rsidRDefault="00C50BD0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dijelom vođenim pr</w:t>
            </w:r>
            <w:r w:rsidR="006F7183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ocesom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učenja i poučavanja u trajanju od </w:t>
            </w:r>
            <w:r w:rsid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76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sata, dijelom učenjem temeljenom na radu u trajanju od 1</w:t>
            </w:r>
            <w:r w:rsid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="00DF46D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a dijelom samostalnim aktivnostima polaznika u trajanju od </w:t>
            </w:r>
            <w:r w:rsid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57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23C402B3" w:rsidR="00C50BD0" w:rsidRPr="00B82788" w:rsidRDefault="00C50BD0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zadataka u simuliranim uvjetima</w:t>
            </w:r>
            <w:r w:rsid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specijaliziranoj učionici.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7777777" w:rsidR="00C759FB" w:rsidRPr="00D24E09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24E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7777777" w:rsidR="00C759FB" w:rsidRPr="00B82788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24E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98C68D2" w14:textId="48580F1C" w:rsidR="00EF3DFC" w:rsidRPr="00B82788" w:rsidRDefault="00EF3DFC" w:rsidP="00EB2EEF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1: </w:t>
            </w:r>
            <w:hyperlink r:id="rId19" w:history="1">
              <w:r w:rsidRPr="00B82788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https://hko.srce.hr/registar/skup-ishoda-ucenja/detalji/5905</w:t>
              </w:r>
            </w:hyperlink>
          </w:p>
          <w:p w14:paraId="1A007167" w14:textId="011862C3" w:rsidR="003A2535" w:rsidRPr="00B82788" w:rsidRDefault="00EF3DFC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2: </w:t>
            </w:r>
            <w:hyperlink r:id="rId20" w:history="1">
              <w:r w:rsidRPr="00B82788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https://hko.srce.hr/registar/skup-ishoda-ucenja/detalji/1159</w:t>
              </w:r>
            </w:hyperlink>
          </w:p>
          <w:p w14:paraId="45ADC242" w14:textId="05554DDB" w:rsidR="003A2535" w:rsidRPr="00B82788" w:rsidRDefault="003A2535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</w:t>
            </w:r>
            <w:r w:rsidR="006728F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hyperlink r:id="rId21" w:history="1">
              <w:r w:rsidRPr="00B82788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https://hko.srce.hr/registar/skup-ishoda-ucenja/detalji/5906</w:t>
              </w:r>
            </w:hyperlink>
          </w:p>
          <w:p w14:paraId="61E786F2" w14:textId="571708BC" w:rsidR="003A2535" w:rsidRPr="00B82788" w:rsidRDefault="003A2535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</w:t>
            </w:r>
            <w:r w:rsidR="006728F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hyperlink r:id="rId22" w:history="1">
              <w:r w:rsidRPr="00B82788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https://hko.srce.hr/registar/skup-ishoda-ucenja/detalji/1202</w:t>
              </w:r>
            </w:hyperlink>
          </w:p>
          <w:p w14:paraId="42254FE5" w14:textId="6E301477" w:rsidR="003A2535" w:rsidRPr="00B82788" w:rsidRDefault="003A2535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</w:t>
            </w:r>
            <w:r w:rsidR="006728F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hyperlink r:id="rId23" w:history="1">
              <w:r w:rsidR="00DF46D8" w:rsidRPr="00B82788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https://hko.srce.hr/registar/skup-ishoda-ucenja/detalji/2563</w:t>
              </w:r>
            </w:hyperlink>
            <w:r w:rsidR="00DF46D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B82788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C6487D4" w14:textId="067F3D94" w:rsidR="003F2F14" w:rsidRPr="00B82788" w:rsidRDefault="002E2B6A" w:rsidP="00EB2EE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3F2F14" w:rsidRPr="00B82788">
              <w:rPr>
                <w:rFonts w:cstheme="minorHAnsi"/>
                <w:iCs/>
                <w:noProof/>
                <w:sz w:val="20"/>
                <w:szCs w:val="20"/>
              </w:rPr>
              <w:t>oristiti programsku potporu za statističku analizu prikupljenih podataka u poslovanju malih i srednjih poduzeća</w:t>
            </w:r>
          </w:p>
          <w:p w14:paraId="7FBCE906" w14:textId="31E994C1" w:rsidR="00590A19" w:rsidRPr="00B82788" w:rsidRDefault="002E2B6A" w:rsidP="00EB2EE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590A19" w:rsidRPr="00B82788">
              <w:rPr>
                <w:rFonts w:cstheme="minorHAnsi"/>
                <w:iCs/>
                <w:noProof/>
                <w:sz w:val="20"/>
                <w:szCs w:val="20"/>
              </w:rPr>
              <w:t>oristiti osnove statističke obrade podataka te načine procjene i analize poslovnih podataka</w:t>
            </w:r>
          </w:p>
          <w:p w14:paraId="08162F92" w14:textId="3C1CBD9D" w:rsidR="00C759FB" w:rsidRPr="00B82788" w:rsidRDefault="002E2B6A" w:rsidP="00EB2EE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3F2F14" w:rsidRPr="00B82788">
              <w:rPr>
                <w:rFonts w:cstheme="minorHAnsi"/>
                <w:iCs/>
                <w:noProof/>
                <w:sz w:val="20"/>
                <w:szCs w:val="20"/>
              </w:rPr>
              <w:t>oristiti poslovne aplikacije za uspješnu poslovnu komunikaciju</w:t>
            </w:r>
          </w:p>
          <w:p w14:paraId="65FCC8DA" w14:textId="772E26A5" w:rsidR="00590A19" w:rsidRPr="00074CAF" w:rsidRDefault="002E2B6A" w:rsidP="00074CA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590A19" w:rsidRPr="00B82788">
              <w:rPr>
                <w:rFonts w:cstheme="minorHAnsi"/>
                <w:iCs/>
                <w:noProof/>
                <w:sz w:val="20"/>
                <w:szCs w:val="20"/>
              </w:rPr>
              <w:t>oristiti Internet za pretraživanje poslovnih informacija za potrebe organizacije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4EAD6EED" w14:textId="77777777" w:rsidR="00C50BD0" w:rsidRPr="00B82788" w:rsidRDefault="00C50BD0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827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 procesu praćenja kvalitete i uspješnosti izvedbe programa obrazovanja primjenjuju se sljedeće aktivnosti:  </w:t>
            </w:r>
          </w:p>
          <w:p w14:paraId="6E856505" w14:textId="77777777" w:rsidR="00C50BD0" w:rsidRPr="00B82788" w:rsidRDefault="00C50BD0" w:rsidP="00EB2EEF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0E815260" w14:textId="77777777" w:rsidR="00C50BD0" w:rsidRPr="00B82788" w:rsidRDefault="00C50BD0" w:rsidP="00EB2EEF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istraživanje i anketiranje nastavnika o istim pitanjima navedenim u prethodnoj stavci </w:t>
            </w:r>
          </w:p>
          <w:p w14:paraId="1241F389" w14:textId="77777777" w:rsidR="00C50BD0" w:rsidRPr="00B82788" w:rsidRDefault="00C50BD0" w:rsidP="00EB2EEF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analiza uspjeha, transparentnosti i objektivnosti provjera i ostvarenosti ishoda učenja </w:t>
            </w:r>
          </w:p>
          <w:p w14:paraId="07288D43" w14:textId="77777777" w:rsidR="00C50BD0" w:rsidRPr="00B82788" w:rsidRDefault="00C50BD0" w:rsidP="00EB2EEF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analiza materijalnih i kadrovskih uvjeta potrebnih za izvođenje procesa učenja i poučavanja. </w:t>
            </w:r>
          </w:p>
          <w:p w14:paraId="39C0098C" w14:textId="77777777" w:rsidR="00C50BD0" w:rsidRPr="00B82788" w:rsidRDefault="00C50BD0" w:rsidP="00EB2EEF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Temeljem rezultata anketa dobiva se pregled uspješnosti izvedbe programa, kao i procjena kvalitete nastavničkog rada. </w:t>
            </w:r>
          </w:p>
          <w:p w14:paraId="25D37C6F" w14:textId="173B2145" w:rsidR="00C759FB" w:rsidRPr="00B82788" w:rsidRDefault="00C50BD0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F919E2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0898639" w14:textId="77777777" w:rsidR="00C50BD0" w:rsidRDefault="00C50BD0" w:rsidP="00EB2EEF">
      <w:pPr>
        <w:pStyle w:val="ListParagraph"/>
        <w:jc w:val="both"/>
        <w:rPr>
          <w:rFonts w:cstheme="minorHAnsi"/>
          <w:b/>
          <w:bCs/>
          <w:noProof/>
          <w:sz w:val="24"/>
          <w:szCs w:val="24"/>
        </w:rPr>
      </w:pPr>
    </w:p>
    <w:p w14:paraId="33D7BBBD" w14:textId="77777777" w:rsidR="00107971" w:rsidRDefault="00107971" w:rsidP="00EB2EEF">
      <w:pPr>
        <w:pStyle w:val="ListParagraph"/>
        <w:jc w:val="both"/>
        <w:rPr>
          <w:rFonts w:cstheme="minorHAnsi"/>
          <w:b/>
          <w:bCs/>
          <w:noProof/>
          <w:sz w:val="24"/>
          <w:szCs w:val="24"/>
        </w:rPr>
      </w:pPr>
    </w:p>
    <w:p w14:paraId="10C0B532" w14:textId="77777777" w:rsidR="00107971" w:rsidRDefault="00107971" w:rsidP="00EB2EEF">
      <w:pPr>
        <w:pStyle w:val="ListParagraph"/>
        <w:jc w:val="both"/>
        <w:rPr>
          <w:rFonts w:cstheme="minorHAnsi"/>
          <w:b/>
          <w:bCs/>
          <w:noProof/>
          <w:sz w:val="24"/>
          <w:szCs w:val="24"/>
        </w:rPr>
      </w:pPr>
    </w:p>
    <w:p w14:paraId="1D976449" w14:textId="764A0578" w:rsidR="00C759FB" w:rsidRPr="00F919E2" w:rsidRDefault="00C759FB" w:rsidP="00EB2EE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926BB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44554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EB2EEF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EB2EEF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3A2535" w:rsidRPr="00F919E2" w14:paraId="61061CEA" w14:textId="77777777" w:rsidTr="002909EA">
        <w:trPr>
          <w:trHeight w:val="28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3A2535" w:rsidRPr="00F919E2" w:rsidRDefault="003A2535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3A2535" w:rsidRPr="00F919E2" w:rsidRDefault="003A2535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56CE122" w:rsidR="003A2535" w:rsidRPr="00F919E2" w:rsidRDefault="003A2535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Prikupljanje, obrada i analiza statističkih podataka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65FAE5BB" w:rsidR="003A2535" w:rsidRPr="00F919E2" w:rsidRDefault="00EF3DFC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Prikupljanje i obrada statističkih podataka u poslovnoj organizaciji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2BFD36F6" w:rsidR="003A2535" w:rsidRPr="00F919E2" w:rsidRDefault="00C632C8" w:rsidP="00BC4E11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BA3EA74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8268B46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53376B9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57B17B9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377E876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3A2535" w:rsidRPr="00F919E2" w14:paraId="4C5966DF" w14:textId="77777777" w:rsidTr="00FC6760">
        <w:trPr>
          <w:trHeight w:val="33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44EA87C" w14:textId="77777777" w:rsidR="003A2535" w:rsidRPr="00F919E2" w:rsidRDefault="003A2535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2A199" w14:textId="77777777" w:rsidR="003A2535" w:rsidRDefault="003A2535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1E2A7E" w14:textId="4C911880" w:rsidR="003A2535" w:rsidRPr="00F919E2" w:rsidRDefault="00EF3DFC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Statistički brojčani podatci u poslovanju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5121A7" w14:textId="179027C8" w:rsidR="003A2535" w:rsidRPr="00F919E2" w:rsidRDefault="00E55218" w:rsidP="00BC4E11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84E380" w14:textId="6BA3F9C9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88B8D" w14:textId="350AB8A3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AE8932" w14:textId="55C56082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22F5D" w14:textId="75863957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A6FC15A" w14:textId="357D67CF" w:rsidR="003A2535" w:rsidRPr="00F919E2" w:rsidRDefault="003A2535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C44554" w:rsidRPr="00F919E2" w14:paraId="0D5FB8A5" w14:textId="77777777" w:rsidTr="00E00F20">
        <w:trPr>
          <w:trHeight w:val="181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217FB78" w14:textId="77777777" w:rsidR="00C44554" w:rsidRPr="00F919E2" w:rsidRDefault="00C44554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E8B5" w14:textId="77777777" w:rsidR="00C44554" w:rsidRDefault="00C44554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A57D9" w14:textId="4D8F6CAC" w:rsidR="00C44554" w:rsidRPr="00F919E2" w:rsidRDefault="00C44554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Analiza statističkih podataka u poslovnoj organizaciji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38EF7C" w14:textId="238A0FFB" w:rsidR="00C44554" w:rsidRPr="00F919E2" w:rsidRDefault="00C44554" w:rsidP="00BC4E11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81EBF" w14:textId="0293DCD7" w:rsidR="00C44554" w:rsidRPr="00F919E2" w:rsidRDefault="00C44554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04FCA" w14:textId="0E023725" w:rsidR="00C44554" w:rsidRPr="00F919E2" w:rsidRDefault="0077348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1F764" w14:textId="4F7F9383" w:rsidR="00C44554" w:rsidRPr="00F919E2" w:rsidRDefault="0077348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CC664F" w14:textId="0ED4F389" w:rsidR="00C44554" w:rsidRPr="00F919E2" w:rsidRDefault="0077348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77DBA44" w14:textId="3981330F" w:rsidR="00C44554" w:rsidRPr="00F919E2" w:rsidRDefault="0077348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C44554" w:rsidRPr="00F919E2" w14:paraId="0C3EF0D5" w14:textId="77777777" w:rsidTr="00276B9F">
        <w:trPr>
          <w:trHeight w:val="28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7777777" w:rsidR="00C44554" w:rsidRPr="00F919E2" w:rsidRDefault="00C44554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17F396E" w:rsidR="00C44554" w:rsidRPr="00F919E2" w:rsidRDefault="00C44554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Prezentiranje dobivenih podataka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86320" w14:textId="2DE96BBF" w:rsidR="00C44554" w:rsidRPr="00F919E2" w:rsidRDefault="00C44554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poslovne komunikacije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5E09087A" w:rsidR="00C44554" w:rsidRPr="00F919E2" w:rsidRDefault="00C44554" w:rsidP="00BC4E11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1B971B18" w:rsidR="00C44554" w:rsidRPr="00F919E2" w:rsidRDefault="00C44554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B477C88" w:rsidR="00C44554" w:rsidRPr="00F919E2" w:rsidRDefault="00EC549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8E56F73" w:rsidR="00C44554" w:rsidRPr="00F919E2" w:rsidRDefault="00EC549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4F15CC8" w:rsidR="00C44554" w:rsidRPr="00F919E2" w:rsidRDefault="00EC549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42D80EC3" w:rsidR="00C44554" w:rsidRPr="00F919E2" w:rsidRDefault="0077348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F919E2" w14:paraId="6B7F37CB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2D3D5578" w:rsidR="00C759FB" w:rsidRPr="00F919E2" w:rsidRDefault="00C44554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Predstavljanje poslovnih podataka računalnom prezentacijom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3FD7BD82" w:rsidR="00C759FB" w:rsidRPr="00F919E2" w:rsidRDefault="00C44554" w:rsidP="00BC4E11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2504AFC4" w:rsidR="00C759FB" w:rsidRPr="00F919E2" w:rsidRDefault="00C44554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6FBE06B5" w:rsidR="00C759FB" w:rsidRPr="00F919E2" w:rsidRDefault="00EC549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6BB51C21" w:rsidR="00C759FB" w:rsidRPr="00F919E2" w:rsidRDefault="00EC549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45DFAA10" w:rsidR="00C759FB" w:rsidRPr="00F919E2" w:rsidRDefault="00EC549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7E162600" w:rsidR="00C759FB" w:rsidRPr="00F919E2" w:rsidRDefault="00773487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EB2EE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F2E4B58" w:rsidR="00C759FB" w:rsidRPr="00F919E2" w:rsidRDefault="00C44554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728F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2E82E9B" w:rsidR="00C759FB" w:rsidRPr="00F919E2" w:rsidRDefault="006728FE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4627CC1" w:rsidR="00C759FB" w:rsidRPr="00F919E2" w:rsidRDefault="00407252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728F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720976E" w:rsidR="00C759FB" w:rsidRPr="00F919E2" w:rsidRDefault="006728FE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E60CBB2" w:rsidR="00C759FB" w:rsidRPr="00F919E2" w:rsidRDefault="00407252" w:rsidP="00BC4E1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728F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</w:tbl>
    <w:bookmarkEnd w:id="1"/>
    <w:p w14:paraId="0A65EC80" w14:textId="77777777" w:rsidR="00C759FB" w:rsidRPr="00F919E2" w:rsidRDefault="00C759FB" w:rsidP="00EB2EEF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EB2EEF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F7A97C" w14:textId="09DC8DD7" w:rsidR="00107971" w:rsidRDefault="00C759FB" w:rsidP="00EB2EE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D3A2F72" w14:textId="6C3B070C" w:rsidR="00501EE6" w:rsidRDefault="00501EE6" w:rsidP="00EB2EE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F8A4116" w14:textId="77777777" w:rsidR="00501EE6" w:rsidRPr="00B82788" w:rsidRDefault="00501EE6" w:rsidP="00EB2EE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3CB9EF2C" w:rsidR="00C759FB" w:rsidRPr="00F919E2" w:rsidRDefault="00C759FB" w:rsidP="00EB2EE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B82788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9B6E5BE" w:rsidR="00C759FB" w:rsidRPr="00B82788" w:rsidRDefault="00EC5497" w:rsidP="00EB2EEF">
            <w:pPr>
              <w:spacing w:before="60" w:after="60" w:line="240" w:lineRule="auto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Prikupljanje, obrada i analiza statističkih podataka </w:t>
            </w:r>
          </w:p>
        </w:tc>
      </w:tr>
      <w:tr w:rsidR="00C759FB" w:rsidRPr="00B82788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B82788" w:rsidRDefault="00C759FB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82788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E658EBC" w14:textId="4B9F120D" w:rsidR="00EF3DFC" w:rsidRPr="00B82788" w:rsidRDefault="00EF3DFC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1: Prikupljanje i obrada statističkih podataka u poslovnoj organizaciji</w:t>
            </w:r>
          </w:p>
          <w:p w14:paraId="538D68C4" w14:textId="26ABEA74" w:rsidR="003A2535" w:rsidRPr="00B82788" w:rsidRDefault="00D3730D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4" w:history="1">
              <w:r w:rsidR="00EF3DFC" w:rsidRPr="00B82788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https://hko.srce.hr/registar/skup-ishoda-ucenja/detalji/5905</w:t>
              </w:r>
            </w:hyperlink>
          </w:p>
          <w:p w14:paraId="09ED6785" w14:textId="61DC8E41" w:rsidR="00EF3DFC" w:rsidRPr="00B82788" w:rsidRDefault="00EF3DFC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2: Statistički brojčani podatci u poslovanju</w:t>
            </w:r>
          </w:p>
          <w:p w14:paraId="73A92152" w14:textId="77777777" w:rsidR="00EF3DFC" w:rsidRPr="00B82788" w:rsidRDefault="00D3730D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5" w:history="1">
              <w:r w:rsidR="00EF3DFC" w:rsidRPr="00B82788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https://hko.srce.hr/registar/skup-ishoda-ucenja/detalji/1159</w:t>
              </w:r>
            </w:hyperlink>
          </w:p>
          <w:p w14:paraId="44A938B6" w14:textId="46A729FB" w:rsidR="003A2535" w:rsidRPr="00B82788" w:rsidRDefault="003A2535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6728FE"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Analiza statističkih podataka u poslovnoj organizaciji</w:t>
            </w:r>
          </w:p>
          <w:p w14:paraId="48EEB20D" w14:textId="39ECAFD4" w:rsidR="00E62722" w:rsidRPr="00B82788" w:rsidRDefault="00D3730D" w:rsidP="00311D5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6" w:history="1">
              <w:r w:rsidR="00742B80" w:rsidRPr="00B82788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https://hko.srce.hr/registar/skup-ishoda-ucenja/detalji/5906</w:t>
              </w:r>
            </w:hyperlink>
            <w:r w:rsidR="00742B80"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B82788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FEC3811" w:rsidR="00C759FB" w:rsidRPr="00B82788" w:rsidRDefault="00AC4B82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4134E8"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B82788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B82788" w:rsidRDefault="00C759FB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B82788" w:rsidRDefault="00C759FB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B82788" w:rsidRDefault="00C759FB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B82788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BA2968C" w:rsidR="00C759FB" w:rsidRPr="00B82788" w:rsidRDefault="006728FE" w:rsidP="00311D5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(3</w:t>
            </w: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5177ACE3" w:rsidR="00C759FB" w:rsidRPr="00B82788" w:rsidRDefault="006728FE" w:rsidP="00311D5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 (4</w:t>
            </w: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056B10EA" w:rsidR="00C759FB" w:rsidRPr="00B82788" w:rsidRDefault="00056BAA" w:rsidP="00311D5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6728FE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(21%)</w:t>
            </w:r>
          </w:p>
        </w:tc>
      </w:tr>
      <w:tr w:rsidR="00C759FB" w:rsidRPr="00B82788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ED99341" w:rsidR="00C759FB" w:rsidRPr="00B82788" w:rsidRDefault="00056BAA" w:rsidP="00EB2EE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C759FB" w:rsidRPr="00B82788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5ED01F4" w:rsidR="00E62722" w:rsidRPr="00B82788" w:rsidRDefault="00742B8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85736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omogućiti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polaznicim</w:t>
            </w:r>
            <w:r w:rsidR="0085736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stjecanje znanja i vještina potrebnih za prikupljanje, obradu i</w:t>
            </w:r>
            <w:r w:rsidR="00AD67E1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analizu statističkih podataka u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svrhu poslovnog odlučivanja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Završetkom modula polazni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moći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koristiti osnovne statističke koncepte pri analizi poslovanja, tako će savladati srednje vrijednosti i mjere raspršenosti te će pomoću njih interpretirati podatke za potrebe poslovnog odlučivanja. Polaznik će moći povezati osnovne pojmove statistike,</w:t>
            </w:r>
            <w:r w:rsidR="00EB2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primarne od sekundarnih izvora po</w:t>
            </w:r>
            <w:r w:rsidR="00866C3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ataka, </w:t>
            </w:r>
            <w:r w:rsidR="00CD410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grafički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prikazati podatke, izračunati osnovne statističke veličine primjenjive u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radu poslovne organizacije </w:t>
            </w:r>
            <w:r w:rsidR="006728F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korištenjem programske podrške</w:t>
            </w:r>
            <w:r w:rsidR="00EB2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odabrati statističku metodu prikladnu podacima te interpretirati dobivene rezultate. </w:t>
            </w:r>
          </w:p>
        </w:tc>
      </w:tr>
      <w:tr w:rsidR="00C759FB" w:rsidRPr="00B82788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7CB0B844" w:rsidR="00E62722" w:rsidRPr="009612C9" w:rsidRDefault="001650D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rst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podataka, prikupljanje podataka, obrada podataka, analiza podataka, srednje vrijednosti, mjere raspršenosti, grafikoni, programska podrška u statistici.  </w:t>
            </w:r>
          </w:p>
        </w:tc>
      </w:tr>
      <w:tr w:rsidR="00C759FB" w:rsidRPr="00B82788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2CE50EC5" w:rsidR="00E62722" w:rsidRPr="00B82788" w:rsidRDefault="00D64D2C" w:rsidP="00074C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integrirano je u program obrazovanja uz uporabu simulacija i stvarnih</w:t>
            </w:r>
            <w:r w:rsidR="00EB2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projektnih zadataka pomoću kojih će polaznici uvježbati osnovne statističke koncepte i njihovu uporabu u poslovanju. Pomoću simuliranih situacija i problemskih zadataka polaznici</w:t>
            </w:r>
            <w:r w:rsidR="00B6483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 biti osposobljeni za izradu analiza temeljenih na kvantitativnim podatcima koje se mogu koristiti u poslovnom odlučivanju.</w:t>
            </w:r>
            <w:r w:rsidR="00B6483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zadaje problemsku situaciju, a polaznici</w:t>
            </w:r>
            <w:r w:rsidR="00B6483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koristeći se stečenim znanjem i vještinama, rješavaju zadani zadatak. 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u ovom modulu riješavati projektni zadatak gdje će kreirati poslovnu analizu koristeči se otvorenim podatcima, odnosno financijskim izvješćima i pračenjem vrijednosti dionica određenog poduzeća.</w:t>
            </w:r>
          </w:p>
        </w:tc>
      </w:tr>
      <w:tr w:rsidR="00C759FB" w:rsidRPr="00B82788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B82788" w:rsidRDefault="00C759FB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3CBB7C9" w14:textId="77777777" w:rsidR="002A43CA" w:rsidRPr="002A43CA" w:rsidRDefault="002A43CA" w:rsidP="00EB2EEF">
            <w:pPr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12"/>
                <w:szCs w:val="12"/>
              </w:rPr>
            </w:pPr>
          </w:p>
          <w:p w14:paraId="0769D38A" w14:textId="35A0C5A9" w:rsidR="00AC4B82" w:rsidRPr="00B82788" w:rsidRDefault="00AC4B82" w:rsidP="00EB2EEF">
            <w:pPr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Preporučena literatura:</w:t>
            </w:r>
          </w:p>
          <w:p w14:paraId="52FF44A6" w14:textId="35543343" w:rsidR="00C759FB" w:rsidRPr="002A43CA" w:rsidRDefault="00AC4B82" w:rsidP="00EB2EE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>Kolesarić, V</w:t>
            </w:r>
            <w:r w:rsidR="009A787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i Petz, B</w:t>
            </w:r>
            <w:r w:rsidR="009A787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(1999). Statistički rječnik: tumač statističkih </w:t>
            </w:r>
            <w:r w:rsidRPr="009A7878">
              <w:rPr>
                <w:rFonts w:cstheme="minorHAnsi"/>
                <w:iCs/>
                <w:noProof/>
                <w:sz w:val="20"/>
                <w:szCs w:val="20"/>
              </w:rPr>
              <w:t xml:space="preserve">pojmova. Jastrebarsko: Naklada Slap. </w:t>
            </w:r>
          </w:p>
          <w:p w14:paraId="2852922F" w14:textId="6156D58B" w:rsidR="00AC4B82" w:rsidRPr="002A43CA" w:rsidRDefault="00AC4B82" w:rsidP="00EB2EE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>Petz, B</w:t>
            </w:r>
            <w:r w:rsidR="002A43CA">
              <w:rPr>
                <w:rFonts w:cstheme="minorHAnsi"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 xml:space="preserve"> (2004). Osnove statistike za nematematičare. Jastrebarsko: </w:t>
            </w:r>
            <w:r w:rsidRPr="002A43CA">
              <w:rPr>
                <w:rFonts w:cstheme="minorHAnsi"/>
                <w:noProof/>
                <w:sz w:val="20"/>
                <w:szCs w:val="20"/>
              </w:rPr>
              <w:t>Naklada Slap</w:t>
            </w:r>
          </w:p>
          <w:p w14:paraId="3B4FF5AA" w14:textId="2FEF46B4" w:rsidR="00AC4B82" w:rsidRPr="00074CAF" w:rsidRDefault="00AC4B82" w:rsidP="00074CA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>Davis, C. (2019). Statistical testing with jamovi and JASP open source software for Sociology: Statistics without Mathematics.Norwich, UK: Vor Press.</w:t>
            </w:r>
          </w:p>
          <w:p w14:paraId="0AA5FFB2" w14:textId="77777777" w:rsidR="00AC4B82" w:rsidRPr="00B82788" w:rsidRDefault="00AC4B82" w:rsidP="00EB2EE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35AFB4" w14:textId="77777777" w:rsidR="00AC4B82" w:rsidRPr="00B82788" w:rsidRDefault="00AC4B82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 realizaciju nastave koriste se:</w:t>
            </w:r>
          </w:p>
          <w:p w14:paraId="344FF0AA" w14:textId="77777777" w:rsidR="00AC4B82" w:rsidRPr="002A43CA" w:rsidRDefault="00AC4B82" w:rsidP="00EB2EE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10"/>
                <w:szCs w:val="10"/>
                <w:lang w:val="hr-HR"/>
              </w:rPr>
            </w:pPr>
          </w:p>
          <w:p w14:paraId="32541861" w14:textId="78F177DF" w:rsidR="00AC4B82" w:rsidRPr="00F31F5E" w:rsidRDefault="00AC4B82" w:rsidP="00F31F5E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 xml:space="preserve">Programi za obradu teksta, </w:t>
            </w:r>
            <w:r w:rsidR="00F31F5E">
              <w:rPr>
                <w:rFonts w:cstheme="minorHAnsi"/>
                <w:noProof/>
                <w:sz w:val="20"/>
                <w:szCs w:val="20"/>
              </w:rPr>
              <w:t xml:space="preserve">tablice, 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>prezentacije (aplikacija koja se može koristit</w:t>
            </w:r>
            <w:r w:rsidR="00D114E8">
              <w:rPr>
                <w:rFonts w:cstheme="minorHAnsi"/>
                <w:noProof/>
                <w:sz w:val="20"/>
                <w:szCs w:val="20"/>
              </w:rPr>
              <w:t>i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 xml:space="preserve"> je dio MS Office</w:t>
            </w:r>
            <w:r w:rsidR="00074CA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>paketa)</w:t>
            </w:r>
          </w:p>
          <w:p w14:paraId="0A24BECE" w14:textId="7D647EA8" w:rsidR="00AC4B82" w:rsidRPr="00074CAF" w:rsidRDefault="00AC4B82" w:rsidP="00074CA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 xml:space="preserve">JASP (besplatan program za obradu podataka) ili računalni program sličnih funkcija </w:t>
            </w:r>
          </w:p>
          <w:p w14:paraId="57CBA86D" w14:textId="031650C1" w:rsidR="00E62722" w:rsidRPr="00B82788" w:rsidRDefault="00E62722" w:rsidP="00EB2EE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2F12B472" w14:textId="77777777" w:rsidR="00074CAF" w:rsidRPr="00B82788" w:rsidRDefault="00074CAF" w:rsidP="00EB2EEF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F3DFC" w:rsidRPr="00B82788" w14:paraId="0E0EDB24" w14:textId="77777777" w:rsidTr="00F260C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2C923D3" w14:textId="77777777" w:rsidR="00EF3DFC" w:rsidRPr="00B82788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B82788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9702380" w14:textId="77777777" w:rsidR="00EF3DFC" w:rsidRPr="00B82788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bookmarkStart w:id="2" w:name="_Hlk124849711"/>
            <w:r w:rsidRPr="00B8278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Prikupljanje i obrada statističkih podataka u poslovnoj organizaciji</w:t>
            </w:r>
            <w:bookmarkEnd w:id="2"/>
          </w:p>
        </w:tc>
      </w:tr>
      <w:tr w:rsidR="00EF3DFC" w:rsidRPr="00B82788" w14:paraId="07A0789F" w14:textId="77777777" w:rsidTr="00F260C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F9AE4C" w14:textId="77777777" w:rsidR="00EF3DFC" w:rsidRPr="00B82788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F3DFC" w:rsidRPr="00B82788" w14:paraId="62D2A39F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02B87" w14:textId="77777777" w:rsidR="00EF3DFC" w:rsidRPr="00B82788" w:rsidRDefault="00EF3DFC" w:rsidP="00EB2EE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3" w:name="_Hlk124849716"/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Povezati osnovne pojmove statistike: statistički skup, statistički uzorak i statistička obilježja</w:t>
            </w:r>
          </w:p>
        </w:tc>
      </w:tr>
      <w:tr w:rsidR="00EF3DFC" w:rsidRPr="00B82788" w14:paraId="21FFE10C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BF2D6" w14:textId="77777777" w:rsidR="00EF3DFC" w:rsidRPr="00B82788" w:rsidRDefault="00EF3DFC" w:rsidP="00EB2EE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Razlikovati primarne od sekundarnih izvora podataka</w:t>
            </w:r>
          </w:p>
        </w:tc>
      </w:tr>
      <w:tr w:rsidR="00EF3DFC" w:rsidRPr="00B82788" w14:paraId="13A28923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95303" w14:textId="77777777" w:rsidR="00EF3DFC" w:rsidRPr="00B82788" w:rsidRDefault="00EF3DFC" w:rsidP="00EB2EE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Izračunati postotke i relativne frekvencije</w:t>
            </w:r>
          </w:p>
        </w:tc>
      </w:tr>
      <w:tr w:rsidR="00EF3DFC" w:rsidRPr="00B82788" w14:paraId="3C67178A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3BEAF" w14:textId="77777777" w:rsidR="00EF3DFC" w:rsidRPr="00B82788" w:rsidRDefault="00EF3DFC" w:rsidP="00EB2EE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Napraviti tablični i grafički prikaz statističkih podataka koristeći programsku potporu i digitalne alate</w:t>
            </w:r>
          </w:p>
        </w:tc>
      </w:tr>
      <w:tr w:rsidR="00EF3DFC" w:rsidRPr="00B82788" w14:paraId="23C06BD6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EEC69" w14:textId="77777777" w:rsidR="00EF3DFC" w:rsidRPr="00B82788" w:rsidRDefault="00EF3DFC" w:rsidP="00EB2EE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Izračunati osnovne statističke veličine primjenjive u radu poslovne organizacije korištenjem programske potpore i digitalnih alata za izračun i grafičko prikazivanje</w:t>
            </w:r>
          </w:p>
        </w:tc>
      </w:tr>
      <w:tr w:rsidR="00EF3DFC" w:rsidRPr="00B82788" w14:paraId="1844AC04" w14:textId="77777777" w:rsidTr="00F260C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F5B59A" w14:textId="77777777" w:rsidR="00EF3DFC" w:rsidRPr="00B82788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bookmarkEnd w:id="3"/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EF3DFC" w:rsidRPr="00B82788" w14:paraId="7D95DFBB" w14:textId="77777777" w:rsidTr="00F260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7469D4" w14:textId="0681F51A" w:rsidR="00EF3DFC" w:rsidRPr="00D64355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</w:t>
            </w:r>
            <w:r w:rsidR="00857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sustav u ovom skupu ishoda učenja </w:t>
            </w:r>
            <w:r w:rsidR="00EB2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1D87CB7B" w14:textId="77FAA76F" w:rsidR="00E62722" w:rsidRPr="00B82788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Tijekom realizacije nastavnih sadržaja nastavnik najprije predavačkom nastavom tumači ključne pojmove vezane uz prikupljanje i obradu statističkih podataka. Nakon usvajanja </w:t>
            </w:r>
            <w:r w:rsidR="00D6435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statističkih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pojmova polaznici kroz </w:t>
            </w:r>
            <w:r w:rsidR="002E514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radni zadatak – izrada analize nezaposlenosti – 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individualno utvrđuju </w:t>
            </w:r>
            <w:r w:rsidR="00E773A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sljedeće pojmove: statistički skup, statistički uzorak, statistička obilježja, vrste podataka, postoci i frekvnecije te naposlijetku uvježbavaju korištenje i prikazivanje svih tih pojmova i koncepata u statističkim programima pomoću kojih izrađuju tablice i grafikone. </w:t>
            </w:r>
            <w:r w:rsidR="00107971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 po potrebi pomaže i usmjerava polaznika ka mogućem rješenju te nastavnik polazniku daje povratnu informaciju o uspješnosti rješavanja problema.</w:t>
            </w:r>
          </w:p>
        </w:tc>
      </w:tr>
      <w:tr w:rsidR="00EF3DFC" w:rsidRPr="00B82788" w14:paraId="7741EDEB" w14:textId="77777777" w:rsidTr="00F260C4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51605" w14:textId="77777777" w:rsidR="00EF3DFC" w:rsidRPr="00B82788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ABF38" w14:textId="110F1388" w:rsidR="00EF3DFC" w:rsidRPr="00B82788" w:rsidRDefault="005526EF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pojmovi statistike</w:t>
            </w:r>
          </w:p>
          <w:p w14:paraId="0A6D0B8C" w14:textId="76A57B26" w:rsidR="005526EF" w:rsidRPr="00B82788" w:rsidRDefault="005526EF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podataka</w:t>
            </w:r>
          </w:p>
          <w:p w14:paraId="45726B32" w14:textId="730DD07F" w:rsidR="005526EF" w:rsidRPr="00B82788" w:rsidRDefault="005526EF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Postoci i frekvencije </w:t>
            </w:r>
          </w:p>
          <w:p w14:paraId="74048528" w14:textId="7A4B5A27" w:rsidR="005526EF" w:rsidRPr="00B82788" w:rsidRDefault="005526EF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Tablice i grafikoni</w:t>
            </w:r>
          </w:p>
          <w:p w14:paraId="2426957F" w14:textId="26BA9C05" w:rsidR="00EF3DFC" w:rsidRPr="00AF634C" w:rsidRDefault="005526EF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Digitalni alati za obradu podataka</w:t>
            </w:r>
          </w:p>
        </w:tc>
      </w:tr>
      <w:tr w:rsidR="00EF3DFC" w:rsidRPr="00B82788" w14:paraId="441739F6" w14:textId="77777777" w:rsidTr="00F260C4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146D5" w14:textId="77777777" w:rsidR="00EF3DFC" w:rsidRPr="00B82788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F3DFC" w:rsidRPr="00B82788" w14:paraId="4AA12DF1" w14:textId="77777777" w:rsidTr="00F260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578923" w14:textId="58C278E7" w:rsidR="007D1D44" w:rsidRPr="000F51F4" w:rsidRDefault="00B408D1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Projektni zadatak</w:t>
            </w:r>
            <w:r w:rsidR="00EE09B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:</w:t>
            </w:r>
          </w:p>
          <w:p w14:paraId="4846D314" w14:textId="21536EAB" w:rsidR="00485CFB" w:rsidRPr="00485CFB" w:rsidRDefault="00485CFB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mora napraviti analizu nezaposlenosti u </w:t>
            </w:r>
            <w:r w:rsidR="00AA1D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Ž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upanij</w:t>
            </w:r>
            <w:r w:rsidR="00AA1D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naručitelja koji želi otvoriti 4 prodavaonice u županiji. Naručitelja zanimaju frekvencije porasta i smanjenja nezaposlenosti u zadnjih 6 godina. Polaznik mora pronaći tražene podatke na stranicama Hrvatskog zavoda za zapošljavanje te ih obraditi na način da opiše statistička obilježja, vrstu podataka, da se u analizi koristi frekvencijama i postocima</w:t>
            </w:r>
            <w:r w:rsidR="002E51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da u odabrani program unese dobivene podatke iz kojih će kreirati tablice i grafikone.</w:t>
            </w:r>
          </w:p>
          <w:p w14:paraId="79649E7D" w14:textId="5744069B" w:rsidR="00EF3DFC" w:rsidRPr="007D1D44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2"/>
                <w:szCs w:val="12"/>
                <w:lang w:val="hr-HR"/>
              </w:rPr>
            </w:pPr>
          </w:p>
          <w:p w14:paraId="00655602" w14:textId="590B7F4F" w:rsidR="00E62722" w:rsidRPr="007D1D44" w:rsidRDefault="002E514C" w:rsidP="002E51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Pomoću unaprijed definiranih kriterija za elemente vrednovanja (prikupljanje podataka,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korištenje frekvencija i postotaka, kvaliteta opisa statističkih obilježja, jasnoća tablica i grafikona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 nastavnik boduje izrađen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statističku analizu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Polaznik provodi samoevaluaciju provedenog istraživačkog rada.</w:t>
            </w:r>
          </w:p>
        </w:tc>
      </w:tr>
      <w:tr w:rsidR="00EF3DFC" w:rsidRPr="00B82788" w14:paraId="6C7713D0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C5EA1" w14:textId="77777777" w:rsidR="00EF3DFC" w:rsidRPr="00B82788" w:rsidRDefault="00EF3DF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D1D44" w:rsidRPr="00B82788" w14:paraId="6485A6EB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E858A" w14:textId="341C5C47" w:rsidR="007D1D44" w:rsidRPr="007D1D44" w:rsidRDefault="007D1D4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D1D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slučaju da program upišu polaznici s invaliditetom, metode učenja biti će prilagođene pojedincu.</w:t>
            </w:r>
          </w:p>
        </w:tc>
      </w:tr>
    </w:tbl>
    <w:p w14:paraId="793A82F6" w14:textId="77777777" w:rsidR="00107971" w:rsidRPr="00B82788" w:rsidRDefault="00107971" w:rsidP="00EB2EEF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56BAA" w:rsidRPr="00B82788" w14:paraId="0DE0E661" w14:textId="77777777" w:rsidTr="00EE00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02065F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B82788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FBB4207" w14:textId="55D8D8A9" w:rsidR="00056BAA" w:rsidRPr="00B82788" w:rsidRDefault="0095403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bookmarkStart w:id="5" w:name="_Hlk124849721"/>
            <w:r w:rsidRPr="00B8278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Statistički brojčani podatci u poslovanju</w:t>
            </w:r>
            <w:bookmarkEnd w:id="5"/>
          </w:p>
        </w:tc>
      </w:tr>
      <w:tr w:rsidR="00056BAA" w:rsidRPr="00B82788" w14:paraId="0A2C2B13" w14:textId="77777777" w:rsidTr="00EE003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F2D6EE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56BAA" w:rsidRPr="00B82788" w14:paraId="6EB63A39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D3DBC" w14:textId="588885B1" w:rsidR="00056BAA" w:rsidRPr="00B82788" w:rsidRDefault="0095403C" w:rsidP="00EB2EE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6" w:name="_Hlk124849727"/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Izračunati srednje vrijednosti na temelju prikupljenih poslovnih podataka za potrebe poslovnog izvještavanja</w:t>
            </w:r>
          </w:p>
        </w:tc>
      </w:tr>
      <w:tr w:rsidR="00056BAA" w:rsidRPr="00B82788" w14:paraId="5E7E9E52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4903F" w14:textId="6E251116" w:rsidR="00056BAA" w:rsidRPr="00B82788" w:rsidRDefault="0095403C" w:rsidP="00EB2EE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Interpretirati izračunate srednje vrijednosti za potrebe poslovnog odlučivanja</w:t>
            </w:r>
          </w:p>
        </w:tc>
      </w:tr>
      <w:tr w:rsidR="0095403C" w:rsidRPr="00B82788" w14:paraId="44E2E72C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EC9DD" w14:textId="6E999D13" w:rsidR="0095403C" w:rsidRPr="00B82788" w:rsidRDefault="0095403C" w:rsidP="00EB2EE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Izračunati mjere raspršenosti na temelju prikupljenih poslovnih podataka za potrebe praćenja poslovanja</w:t>
            </w:r>
          </w:p>
        </w:tc>
      </w:tr>
      <w:tr w:rsidR="00056BAA" w:rsidRPr="00B82788" w14:paraId="3F7135AA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C9D09" w14:textId="72D2BE31" w:rsidR="00056BAA" w:rsidRPr="00B82788" w:rsidRDefault="0095403C" w:rsidP="00EB2EE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Interpretirati izračunate mjere raspršenosti za potrebe poslovnog odlučivanja</w:t>
            </w:r>
          </w:p>
        </w:tc>
      </w:tr>
      <w:bookmarkEnd w:id="6"/>
      <w:tr w:rsidR="00056BAA" w:rsidRPr="00B82788" w14:paraId="1859D844" w14:textId="77777777" w:rsidTr="00EE003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249AF6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56BAA" w:rsidRPr="00B82788" w14:paraId="72702BB1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D94CDD" w14:textId="476CBAC7" w:rsidR="00107971" w:rsidRPr="00447437" w:rsidRDefault="00AC4B82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</w:t>
            </w:r>
            <w:r w:rsidR="00857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sustav u ovom skupu ishoda učenja </w:t>
            </w:r>
            <w:r w:rsidR="00ED5A7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 </w:t>
            </w:r>
            <w:r w:rsidR="00A06F1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9CA56C9" w14:textId="23AACF77" w:rsidR="002E514C" w:rsidRPr="002E514C" w:rsidRDefault="00107971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Tijekom realizacije nastavnih sadržaja nastavnik najprije predavačkom nastavom tumači ključne pojmove vezane uz srednje vrijednosti i mjere raspršenosti. Nakon usvajanja osnovnih pojmova polaznici kroz </w:t>
            </w:r>
            <w:r w:rsidR="00DA4C3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projektne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zadatke individualno utvrđuju naučene pojmove i koncepte</w:t>
            </w:r>
            <w:r w:rsidR="00ED5950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  <w:r w:rsidR="002E514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Kako bi polaznik ostvario ishode, provest</w:t>
            </w:r>
            <w:r w:rsidR="004C2BD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="002E514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će kratku analizu gdje će pratiti vrijednost dionice Podravke </w:t>
            </w:r>
            <w:r w:rsidR="000027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d. d. </w:t>
            </w:r>
            <w:r w:rsidR="002E514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 će kroz izradu analize koristit</w:t>
            </w:r>
            <w:r w:rsidR="004C2BD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="002E514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srednje vrijednosti i mjere raspršenosti.</w:t>
            </w:r>
            <w:r w:rsidR="00ED5950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Nastavnik po potrebi pomaže i usmjerava polaznika ka mogućem rješenju te nastavnik polazniku daje povratnu informaciju o uspješnosti rješavanja problema.</w:t>
            </w:r>
          </w:p>
        </w:tc>
      </w:tr>
      <w:tr w:rsidR="00056BAA" w:rsidRPr="00B82788" w14:paraId="302CAC38" w14:textId="77777777" w:rsidTr="00EE003F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91ADD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869FA" w14:textId="73B37952" w:rsidR="00056BAA" w:rsidRPr="00B82788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Srednje vrijednosti</w:t>
            </w:r>
          </w:p>
          <w:p w14:paraId="59265F8E" w14:textId="46529239" w:rsidR="00056BAA" w:rsidRPr="00E93D7D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Mjere raspršenosti</w:t>
            </w:r>
          </w:p>
        </w:tc>
      </w:tr>
      <w:tr w:rsidR="00056BAA" w:rsidRPr="00B82788" w14:paraId="39342416" w14:textId="77777777" w:rsidTr="00EE003F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7ADD2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56BAA" w:rsidRPr="00B82788" w14:paraId="18116830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07F37B" w14:textId="30CBD7D6" w:rsidR="002E514C" w:rsidRDefault="000F51F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Projektni zadatak:</w:t>
            </w:r>
          </w:p>
          <w:p w14:paraId="6E323EE6" w14:textId="68C06C72" w:rsidR="00ED5950" w:rsidRPr="00B82788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na temelju praćenja različitih parametara dodijeljene dionice Zagrebačke burze izračunava srednje vrijednosti i mjere raspršenosti te grafički prikazuje podatke (B-P dijagram).</w:t>
            </w:r>
            <w:r w:rsidR="00DA4C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tijekom deset uzastopnih dana na mrežnim stranicama Zagrebačke burze prati dionicu Podravke d.</w:t>
            </w:r>
            <w:r w:rsidR="00E93D7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d. (PODR). Polaznik prati sljedeće parametre: cijenu, količinu, vrijednost, minimalnu cijenu, maksimalnu cijenu, broj transakcija i količinu dionica u prometu.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Prikupljene podatke polaznik unosi u statističke tablice, izračunava srednje vrijednosti i mjere raspršenosti te grafički prikazuje podatke (B-P dijagram). Na kraju istraživačkog rada polaznik interpretira dobivene rezultate provedenog istraživanja u statističkom izvješću.</w:t>
            </w:r>
          </w:p>
          <w:p w14:paraId="18A400E8" w14:textId="77777777" w:rsidR="00ED5950" w:rsidRPr="00B82788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865E510" w14:textId="0957FEA9" w:rsidR="00E62722" w:rsidRPr="00E93D7D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Pomoću unaprijed definiranih kriterija za elemente vrednovanja (prikupljanje podataka, aritmetička sredina, mod, medijan, mjere raspršenosti, B-P grafikon) nastavnik boduje izrađeno statističko izvješće provedenog istraživanja. Polaznik provodi samoevaluaciju provedenog istraživačkog rada.</w:t>
            </w:r>
          </w:p>
        </w:tc>
      </w:tr>
      <w:tr w:rsidR="00056BAA" w:rsidRPr="00B82788" w14:paraId="3E358D5A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6B6F3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056BAA" w:rsidRPr="00B82788" w14:paraId="779A5B2E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57EA55" w14:textId="77777777" w:rsidR="00056BAA" w:rsidRPr="00B82788" w:rsidRDefault="00E62722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slučaju da program upišu polaznici s invaliditetom, metode učenja biti će prilagođene pojedincu.</w:t>
            </w:r>
          </w:p>
          <w:p w14:paraId="6E456757" w14:textId="55CFF787" w:rsidR="00E62722" w:rsidRPr="00B82788" w:rsidRDefault="00E62722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EBA8154" w14:textId="77777777" w:rsidR="00074CAF" w:rsidRPr="00B82788" w:rsidRDefault="00074CAF" w:rsidP="00EB2EEF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56BAA" w:rsidRPr="00B82788" w14:paraId="0BCA33BD" w14:textId="77777777" w:rsidTr="00EE00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C648894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B82788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7D89B4A" w14:textId="68100B69" w:rsidR="00056BAA" w:rsidRPr="00B82788" w:rsidRDefault="0095403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bookmarkStart w:id="7" w:name="_Hlk124849747"/>
            <w:r w:rsidRPr="00B8278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Analiza statističkih podataka u poslovnoj organizaciji</w:t>
            </w:r>
            <w:bookmarkEnd w:id="7"/>
          </w:p>
        </w:tc>
      </w:tr>
      <w:tr w:rsidR="00056BAA" w:rsidRPr="00B82788" w14:paraId="24B0FBA0" w14:textId="77777777" w:rsidTr="00EE003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2F8292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56BAA" w:rsidRPr="00B82788" w14:paraId="272F28B2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1E1C6" w14:textId="68C07255" w:rsidR="00056BAA" w:rsidRPr="00B82788" w:rsidRDefault="00666971" w:rsidP="00EB2EEF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8" w:name="_Hlk124849751"/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Analizirati statističke podatke iz evidencija i baza podataka poslovne organizacije</w:t>
            </w:r>
          </w:p>
        </w:tc>
      </w:tr>
      <w:tr w:rsidR="00056BAA" w:rsidRPr="00B82788" w14:paraId="407E7899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8FE3E" w14:textId="726B2EE1" w:rsidR="00056BAA" w:rsidRPr="00B82788" w:rsidRDefault="00666971" w:rsidP="00EB2EEF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Usporediti primjenu različitih statističkih metoda u obradi podataka i statističkoj analizi uz pravilnu interpretaciju u poslovnoj organizaciji</w:t>
            </w:r>
          </w:p>
        </w:tc>
      </w:tr>
      <w:tr w:rsidR="00666971" w:rsidRPr="00B82788" w14:paraId="3B6AA4A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3770A" w14:textId="4A37709A" w:rsidR="00666971" w:rsidRPr="00B82788" w:rsidRDefault="00666971" w:rsidP="00EB2EEF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Primijeniti računalo i proračunske tablice pri izračunavanju i grafičkom prikazivanju statističkih podataka u poslovnoj organizaciji</w:t>
            </w:r>
          </w:p>
        </w:tc>
      </w:tr>
      <w:tr w:rsidR="00056BAA" w:rsidRPr="00B82788" w14:paraId="5242501E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56AE2" w14:textId="528F2690" w:rsidR="00056BAA" w:rsidRPr="00B82788" w:rsidRDefault="00666971" w:rsidP="00EB2EEF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Analizirati podatke potrebne za statističku obradu financijskih izvještaja i analizu financijskih pokazatelja primjenom statističko-analitičkih postupaka</w:t>
            </w:r>
          </w:p>
        </w:tc>
      </w:tr>
      <w:bookmarkEnd w:id="8"/>
      <w:tr w:rsidR="00056BAA" w:rsidRPr="00B82788" w14:paraId="41D467BC" w14:textId="77777777" w:rsidTr="00EE003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087DF1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56BAA" w:rsidRPr="00B82788" w14:paraId="664E98AC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EC76AF" w14:textId="44BD0768" w:rsidR="00ED5950" w:rsidRPr="00A06F11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</w:t>
            </w:r>
            <w:r w:rsidR="009C1A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sustav u ovom skupu ishoda učenja </w:t>
            </w:r>
            <w:r w:rsidR="00DA4C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projektna nastava.</w:t>
            </w:r>
          </w:p>
          <w:p w14:paraId="0C9C6154" w14:textId="63B982B5" w:rsidR="00E62722" w:rsidRPr="00B82788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Tijekom realizacije nastavnih sadržaja nastavnik najprije predavačkom nastavom tumači ključne pojmove vezane uz analizu statističkih podataka u poslovnoj organizaciji. Nakon usvajanja osnovnih pojmova polaznici kroz projektni zadatak individualno utvrđuju naučene pojmove i koncepte. </w:t>
            </w:r>
            <w:r w:rsidR="008813F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Polaznici izrađuju poslovnu analizu poduzeća Podravka d.</w:t>
            </w:r>
            <w:r w:rsidR="00372E8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813F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d. gdje na </w:t>
            </w:r>
            <w:r w:rsidR="00372E8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="008813F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nternetu prikupljaju podatke koje obrađuju koristeći se naučenim statističkim metodama te ih naposljetku grafički prikazuju. 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 po potrebi pomaže i usmjerava polaznika ka mogućem rješenju te nastavnik polazniku daje povratnu informaciju o uspješnosti rješavanja problema.</w:t>
            </w:r>
          </w:p>
        </w:tc>
      </w:tr>
      <w:tr w:rsidR="00056BAA" w:rsidRPr="00B82788" w14:paraId="09CA2119" w14:textId="77777777" w:rsidTr="00EE003F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3F16C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1A628" w14:textId="77777777" w:rsidR="00056BAA" w:rsidRPr="00B82788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Analiza statističkih podataka </w:t>
            </w:r>
          </w:p>
          <w:p w14:paraId="7730F677" w14:textId="464E05C0" w:rsidR="00ED5950" w:rsidRPr="00B82788" w:rsidRDefault="00ED5950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Odabit statističke metode </w:t>
            </w:r>
            <w:r w:rsidR="00B6483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analizu</w:t>
            </w:r>
          </w:p>
          <w:p w14:paraId="64E03E7D" w14:textId="38AE3498" w:rsidR="00ED5950" w:rsidRPr="00B82788" w:rsidRDefault="00B6483E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Analiza podataka i grafičko prikazivanje podataka</w:t>
            </w:r>
          </w:p>
        </w:tc>
      </w:tr>
      <w:tr w:rsidR="00056BAA" w:rsidRPr="00B82788" w14:paraId="69D67598" w14:textId="77777777" w:rsidTr="00EE003F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46DD6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56BAA" w:rsidRPr="00B82788" w14:paraId="2E2291F5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BA305E" w14:textId="0A56211A" w:rsidR="008813FC" w:rsidRDefault="00372E8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Projektni zadatak:</w:t>
            </w:r>
          </w:p>
          <w:p w14:paraId="4E5817D0" w14:textId="35804A21" w:rsidR="00056BAA" w:rsidRPr="00B82788" w:rsidRDefault="00B6483E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Nastavnik zadaje projektni zadatak koji će biti korišten i u idućem modulu, gdje polaznik </w:t>
            </w:r>
            <w:r w:rsidR="00372E8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treba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izradi</w:t>
            </w:r>
            <w:r w:rsidR="00372E8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ti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analizu za poslovnog subjekta xy koji želi kupiti dionice </w:t>
            </w:r>
            <w:r w:rsidR="00AD67E1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Podravke d.</w:t>
            </w:r>
            <w:r w:rsidR="00372E8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D67E1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d.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  <w:r w:rsidR="008813F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</w:t>
            </w:r>
            <w:r w:rsidR="008813F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izrađuje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jednostavnu poslovnu analizu za naručitelja koristeči se otvorenim podacima, odnosno financijskim izvješćima.  </w:t>
            </w:r>
            <w:r w:rsidR="00AD67E1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Polaznik mora analizirati dostupne podatke koristeći se naučenim statističkim metodama. Dobivene rezultate treba interpretirati te grafički obraditi. </w:t>
            </w:r>
            <w:r w:rsidR="00FE757C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Ovu analizu mora objediniti s analizom iz prijašnjeg ishoda, odnosno s projektnim zadatkom u kojem je pratio vrijednosti Podravkinih dionica, kako bi u idučem modulu na temelju te analize mogao izraditi prezentaciju te je prezentirati pred ostalim polaznicima.</w:t>
            </w:r>
          </w:p>
          <w:p w14:paraId="3A55E610" w14:textId="77777777" w:rsidR="00AD67E1" w:rsidRPr="00B82788" w:rsidRDefault="00AD67E1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7C4CECBA" w14:textId="6E84D34D" w:rsidR="00E62722" w:rsidRPr="009158E4" w:rsidRDefault="00AD67E1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lastRenderedPageBreak/>
              <w:t>Vrednovanje: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Pomoću unaprijed definiranih kriterija za elemente vrednovanja (prikupljanje podataka, pravilno korištenje statističkih metoda, izrada grafikona) nastavnik boduje izrađenu analizu. Polaznik provodi samoevaluaciju provedenog istraživačkog rada.</w:t>
            </w:r>
          </w:p>
        </w:tc>
      </w:tr>
      <w:tr w:rsidR="00056BAA" w:rsidRPr="00B82788" w14:paraId="44B3D9A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63D8A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056BAA" w:rsidRPr="00B82788" w14:paraId="74982A5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4626E5" w14:textId="77777777" w:rsidR="00056BAA" w:rsidRPr="00B82788" w:rsidRDefault="00E62722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slučaju da program upišu polaznici s invaliditetom, metode učenja biti će prilagođene pojedincu.</w:t>
            </w:r>
          </w:p>
          <w:p w14:paraId="3EB9AFC0" w14:textId="75A0B4D4" w:rsidR="00E62722" w:rsidRPr="00B82788" w:rsidRDefault="00E62722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8236A91" w14:textId="77777777" w:rsidR="00074CAF" w:rsidRPr="00B82788" w:rsidRDefault="00074CAF" w:rsidP="00EB2EEF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056BAA" w:rsidRPr="00B82788" w14:paraId="47CBCB4C" w14:textId="77777777" w:rsidTr="00EE003F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8C48CB4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56CB8E" w14:textId="260FC31E" w:rsidR="00056BAA" w:rsidRPr="00B82788" w:rsidRDefault="004134E8" w:rsidP="00EB2EEF">
            <w:pPr>
              <w:spacing w:before="60" w:after="60" w:line="240" w:lineRule="auto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Prezentiranje dobivenih podataka </w:t>
            </w:r>
            <w:r w:rsidR="00056BAA"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056BAA" w:rsidRPr="00B82788" w14:paraId="78446C9F" w14:textId="77777777" w:rsidTr="00EE003F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42EBBD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25A964A" w14:textId="77777777" w:rsidR="00056BAA" w:rsidRPr="00B82788" w:rsidRDefault="00056BAA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056BAA" w:rsidRPr="00B82788" w14:paraId="382BE75A" w14:textId="77777777" w:rsidTr="00EE003F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08047F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6A7A4E1" w14:textId="77777777" w:rsidR="003A2535" w:rsidRPr="00B82788" w:rsidRDefault="003A2535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1: Osnove poslovne komunikacije </w:t>
            </w:r>
          </w:p>
          <w:p w14:paraId="6B2623FA" w14:textId="77777777" w:rsidR="003A2535" w:rsidRPr="00B82788" w:rsidRDefault="00D3730D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7" w:history="1">
              <w:r w:rsidR="003A2535" w:rsidRPr="00B82788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https://hko.srce.hr/registar/skup-ishoda-ucenja/detalji/1202</w:t>
              </w:r>
            </w:hyperlink>
            <w:r w:rsidR="003A2535"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C7DEA5A" w14:textId="77777777" w:rsidR="003A2535" w:rsidRPr="00B82788" w:rsidRDefault="003A2535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2: Predstavljanje poslovnih podataka računalnom prezentacijom</w:t>
            </w:r>
          </w:p>
          <w:p w14:paraId="72A17C56" w14:textId="794CB03B" w:rsidR="00E62722" w:rsidRPr="00B82788" w:rsidRDefault="00D3730D" w:rsidP="009158E4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8" w:history="1">
              <w:r w:rsidR="003A2535" w:rsidRPr="00B82788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https://hko.srce.hr/registar/skup-ishoda-ucenja/detalji/2563</w:t>
              </w:r>
            </w:hyperlink>
            <w:r w:rsidR="003A2535" w:rsidRPr="00B827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056BAA" w:rsidRPr="00B82788" w14:paraId="7F248CD1" w14:textId="77777777" w:rsidTr="00EE003F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574822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A76EB10" w14:textId="22637168" w:rsidR="00056BAA" w:rsidRPr="00B82788" w:rsidRDefault="00407252" w:rsidP="00EB2EE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="004134E8"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056BAA" w:rsidRPr="00B82788" w14:paraId="643545F3" w14:textId="77777777" w:rsidTr="00EE003F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83B1D1F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ED8F704" w14:textId="77777777" w:rsidR="00056BAA" w:rsidRPr="00B82788" w:rsidRDefault="00056BAA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4893C9A" w14:textId="77777777" w:rsidR="00056BAA" w:rsidRPr="00B82788" w:rsidRDefault="00056BAA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FE6CC37" w14:textId="77777777" w:rsidR="00056BAA" w:rsidRPr="00B82788" w:rsidRDefault="00056BAA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056BAA" w:rsidRPr="00B82788" w14:paraId="1E58CFAC" w14:textId="77777777" w:rsidTr="00EE003F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C971A9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4D1A604C" w14:textId="11135D67" w:rsidR="00056BAA" w:rsidRPr="00B82788" w:rsidRDefault="008828A0" w:rsidP="009158E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(3</w:t>
            </w: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7ED1FDA" w14:textId="72234F79" w:rsidR="00056BAA" w:rsidRPr="00B82788" w:rsidRDefault="008828A0" w:rsidP="009158E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43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(4</w:t>
            </w: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EEB9250" w14:textId="3988C3D4" w:rsidR="00056BAA" w:rsidRPr="00B82788" w:rsidRDefault="008828A0" w:rsidP="009158E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</w:t>
            </w:r>
            <w:r w:rsidR="004134E8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056BAA"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056BAA" w:rsidRPr="00B82788" w14:paraId="6D3F5D6B" w14:textId="77777777" w:rsidTr="00EE003F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23AD56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3BD8A65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973097A" w14:textId="77777777" w:rsidR="00056BAA" w:rsidRPr="00B82788" w:rsidRDefault="00056BAA" w:rsidP="00EB2EE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056BAA" w:rsidRPr="00B82788" w14:paraId="478BA833" w14:textId="77777777" w:rsidTr="00EE003F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EFB261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70C8D0B" w14:textId="081CAFAF" w:rsidR="00E62722" w:rsidRPr="00A16E66" w:rsidRDefault="00AD67E1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polaznicima omogućiti stjecanje znanja i vještina potrebnih za kvalitetnu komunikaciju u provođenju </w:t>
            </w:r>
            <w:r w:rsidR="00B360C5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prezentiranju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poslovnih aktivnosti. Završetkom modula polaznik će moći </w:t>
            </w:r>
            <w:r w:rsidR="00B360C5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prepoznati važnost razvoja komunikacijskih vještina za provođenje poslovnih aktivnosti</w:t>
            </w:r>
            <w:r w:rsidR="00ED5A7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za postizanje ciljeva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također će biti osposobljen</w:t>
            </w:r>
            <w:r w:rsidR="00ED5A7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360C5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kvalitetno izraditi i izložiti prezentaciju</w:t>
            </w:r>
            <w:r w:rsidR="00ED5A7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pomoću računalnog programa, </w:t>
            </w:r>
            <w:r w:rsidR="00B360C5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koja opisuje određenu poslovnu aktivnost.</w:t>
            </w:r>
          </w:p>
        </w:tc>
      </w:tr>
      <w:tr w:rsidR="00056BAA" w:rsidRPr="00B82788" w14:paraId="17098B7F" w14:textId="77777777" w:rsidTr="00EE003F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C09820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8837AC3" w14:textId="67B0D546" w:rsidR="00056BAA" w:rsidRPr="00A16E66" w:rsidRDefault="00B360C5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Komunikacija, komunikacijske vještine, </w:t>
            </w:r>
            <w:r w:rsidR="00ED5A7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programska podrška za izradu prezentacije, izrada prezentacije, izlagan</w:t>
            </w:r>
            <w:r w:rsidR="004C2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 </w:t>
            </w:r>
            <w:r w:rsidR="00ED5A7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prezentacije. </w:t>
            </w:r>
          </w:p>
        </w:tc>
      </w:tr>
      <w:tr w:rsidR="00056BAA" w:rsidRPr="00B82788" w14:paraId="5CB54BE5" w14:textId="77777777" w:rsidTr="00EE003F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3935E4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FD86C07" w14:textId="78BCF4CA" w:rsidR="00E62722" w:rsidRPr="00A16E66" w:rsidRDefault="00ED5A78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integrirano je u program obrazovanja uz uporabu simulacija i stvarnih</w:t>
            </w:r>
            <w:r w:rsidR="00DA4C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projektnih zadataka pomoću kojih će polaznici ustvrditi osno</w:t>
            </w:r>
            <w:r w:rsidR="00750F7D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 kvalitetne komunikacije potrebne pri prezentiranju poslovnih aktivnosti. Pomoću simuliranih situacija i problemskih zadataka polaznici će biti osposobljeni za izradu izradu i izlaganje prezentacija. Nastavnik zadaje problemsku situaciju, a polaznici koristeći se stečenim znanjem i vještinama, rješavaju zadani zadatak. Polaznici će, koristeći projektne zadatke izrađene u prvom modulu, prezentirati dobivene rezultate te će tako savladati osnovne komunikacijske i prezentacijske vještine. </w:t>
            </w:r>
          </w:p>
        </w:tc>
      </w:tr>
      <w:tr w:rsidR="00056BAA" w:rsidRPr="00B82788" w14:paraId="1717D22F" w14:textId="77777777" w:rsidTr="00EE003F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D6AA2" w14:textId="77777777" w:rsidR="00056BAA" w:rsidRPr="00B82788" w:rsidRDefault="00056BAA" w:rsidP="00EB2E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D1DC2E0" w14:textId="77777777" w:rsidR="00266044" w:rsidRDefault="00266044" w:rsidP="00EB2EE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FEEB6FC" w14:textId="39A8AE07" w:rsidR="00DF7205" w:rsidRPr="00266044" w:rsidRDefault="00DF7205" w:rsidP="00EB2EE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Preporučena literatura:</w:t>
            </w:r>
          </w:p>
          <w:p w14:paraId="6AA2BF2C" w14:textId="005D917E" w:rsidR="00056BAA" w:rsidRPr="00266044" w:rsidRDefault="00DF7205" w:rsidP="00EB2EE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>Jurković, Z. (2012). Važnost komunikacije u funkcioniranju organizacije. Ekonomski vjesnik: Review of Contemporary Entrepreneurship, Business, and Economic Issues, 25(2), 387-399.</w:t>
            </w:r>
          </w:p>
          <w:p w14:paraId="1819953F" w14:textId="25EA395D" w:rsidR="00DF7205" w:rsidRPr="00266044" w:rsidRDefault="00DF7205" w:rsidP="00EB2EEF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>Milenković, S.</w:t>
            </w:r>
            <w:r w:rsidR="00266044">
              <w:rPr>
                <w:rFonts w:cstheme="minorHAnsi"/>
                <w:noProof/>
                <w:sz w:val="20"/>
                <w:szCs w:val="20"/>
              </w:rPr>
              <w:t xml:space="preserve"> i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 xml:space="preserve"> Delić, K. (2011). Komunikologija i poslovna komunikacija. CPI, Zagreb.</w:t>
            </w:r>
          </w:p>
          <w:p w14:paraId="7960003F" w14:textId="6EEA2EAD" w:rsidR="00DF7205" w:rsidRPr="00266044" w:rsidRDefault="00DF7205" w:rsidP="00EB2EEF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>Dobrijević, G. (2011). Poslovno komuniciranje i pregovaranje. Univerzitet Singidunum.</w:t>
            </w:r>
          </w:p>
          <w:p w14:paraId="55D05DC2" w14:textId="3960ADCB" w:rsidR="00DF7205" w:rsidRDefault="00DF7205" w:rsidP="00074CAF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>Lowe, D. (2021). PowerPoint for Dummies. John Wiley &amp; Sons.</w:t>
            </w:r>
          </w:p>
          <w:p w14:paraId="4CF82567" w14:textId="1556B9FF" w:rsidR="00472C96" w:rsidRDefault="00472C96" w:rsidP="00074CAF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72C96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Zaštita na radu (2012): Opasnosti kod rada na računalu i pravilne vježbe. Zagreb, dostupno na: </w:t>
            </w:r>
            <w:hyperlink r:id="rId29" w:history="1">
              <w:r w:rsidRPr="00965C2F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54B2EF5B" w14:textId="763FB4A8" w:rsidR="00953EE6" w:rsidRPr="00953EE6" w:rsidRDefault="00953EE6" w:rsidP="00953EE6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3EE6">
              <w:rPr>
                <w:rFonts w:cstheme="minorHAnsi"/>
                <w:noProof/>
                <w:sz w:val="20"/>
                <w:szCs w:val="20"/>
              </w:rPr>
              <w:t xml:space="preserve">Ministarstvo rada i mirovinskoga sustava (2015): Osnovne obveze zaštite na radu. Mini vodič za poslovnu zajednicu (online)., dostupno na: </w:t>
            </w:r>
            <w:hyperlink r:id="rId30" w:history="1">
              <w:r w:rsidRPr="00965C2F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https://www.mingo.hr/public/Poduzetnistvo/112-vodic-zastita-na-radu-lowreswebfinal.pdf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953EE6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6F956B2B" w14:textId="5EC101A4" w:rsidR="00953EE6" w:rsidRPr="00953EE6" w:rsidRDefault="00953EE6" w:rsidP="00953EE6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3EE6">
              <w:rPr>
                <w:rFonts w:cstheme="minorHAnsi"/>
                <w:noProof/>
                <w:sz w:val="20"/>
                <w:szCs w:val="20"/>
              </w:rPr>
              <w:t xml:space="preserve">Kovač, C., Šijaković, A., Krišto I. i Kovač, H. (2018): Priručnik za praktičan rad povjerenika – radnika za zaštitu na radu (online). Kutjevo: Nezavisni sindikat radnika u proizvodnji hrane i pića (NSRPHP)., dostupno na: </w:t>
            </w:r>
            <w:hyperlink r:id="rId31" w:history="1">
              <w:r w:rsidRPr="00965C2F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https://www.hup.hr/EasyEdit/UserFiles/Ivana%20Zlatari%C4%87/prirucnik-za-praktican-rad.pdf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953EE6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3B2A1B24" w14:textId="283F3715" w:rsidR="00472C96" w:rsidRPr="00953EE6" w:rsidRDefault="00953EE6" w:rsidP="00953EE6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3EE6">
              <w:rPr>
                <w:rFonts w:cstheme="minorHAnsi"/>
                <w:noProof/>
                <w:sz w:val="20"/>
                <w:szCs w:val="20"/>
              </w:rPr>
              <w:t xml:space="preserve">Europska agencija za sigurnost i zdravlje na radu (2020). Online izvori., dostupno na: </w:t>
            </w:r>
            <w:hyperlink r:id="rId32" w:history="1">
              <w:r w:rsidRPr="00965C2F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https://osha.europa.eu/hr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953EE6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4BF6A694" w14:textId="77777777" w:rsidR="00DF7205" w:rsidRPr="00B82788" w:rsidRDefault="00DF7205" w:rsidP="00EB2EE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061595A" w14:textId="77777777" w:rsidR="00DF7205" w:rsidRPr="00B82788" w:rsidRDefault="00DF7205" w:rsidP="00EB2EE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 realizaciju nastave koriste se:</w:t>
            </w:r>
          </w:p>
          <w:p w14:paraId="41ADA684" w14:textId="77777777" w:rsidR="00DF7205" w:rsidRPr="00B82788" w:rsidRDefault="00DF7205" w:rsidP="00EB2EE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A9DA9C3" w14:textId="7C92C241" w:rsidR="00DF7205" w:rsidRPr="00074CAF" w:rsidRDefault="00DF7205" w:rsidP="00EB2EEF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>Programi za obradu teksta, prezentacije (aplikacija koja se može koristit</w:t>
            </w:r>
            <w:r w:rsidR="00F31139">
              <w:rPr>
                <w:rFonts w:cstheme="minorHAnsi"/>
                <w:noProof/>
                <w:sz w:val="20"/>
                <w:szCs w:val="20"/>
              </w:rPr>
              <w:t>i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 xml:space="preserve"> je dio MS Office</w:t>
            </w:r>
            <w:r w:rsidR="00074CA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>paketa)</w:t>
            </w:r>
          </w:p>
          <w:p w14:paraId="2AE10F61" w14:textId="35A9BE4F" w:rsidR="00DF7205" w:rsidRPr="00B82788" w:rsidRDefault="00DF7205" w:rsidP="00EB2EE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3E8E7D35" w14:textId="77777777" w:rsidR="00037304" w:rsidRPr="00B82788" w:rsidRDefault="00037304" w:rsidP="00EB2EEF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56BAA" w:rsidRPr="00B82788" w14:paraId="26796E19" w14:textId="77777777" w:rsidTr="00EE00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32F328B" w14:textId="00D9791E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B82788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4"/>
            </w: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4B2B293" w14:textId="359572E5" w:rsidR="00056BAA" w:rsidRPr="00B82788" w:rsidRDefault="0095403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bookmarkStart w:id="9" w:name="_Hlk124849758"/>
            <w:r w:rsidRPr="00B8278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poslovne komunikacije</w:t>
            </w:r>
            <w:bookmarkEnd w:id="9"/>
          </w:p>
        </w:tc>
      </w:tr>
      <w:tr w:rsidR="00056BAA" w:rsidRPr="00B82788" w14:paraId="4F52BF16" w14:textId="77777777" w:rsidTr="00EE003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816D81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56BAA" w:rsidRPr="00B82788" w14:paraId="34EDABC7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984F0" w14:textId="191EDB54" w:rsidR="00056BAA" w:rsidRPr="00B82788" w:rsidRDefault="00666971" w:rsidP="00EB2EE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10" w:name="_Hlk124849764"/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Identificirati važnost komunikacijske vještine pojedinca za provođenje poslovnih aktivnosti</w:t>
            </w:r>
          </w:p>
        </w:tc>
      </w:tr>
      <w:tr w:rsidR="00666971" w:rsidRPr="00B82788" w14:paraId="365B8E3D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C6997" w14:textId="1213D43F" w:rsidR="00666971" w:rsidRPr="00B82788" w:rsidRDefault="00666971" w:rsidP="00EB2EE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Analizirati elemente i aktivnosti modela poslovne komunikacije</w:t>
            </w:r>
          </w:p>
        </w:tc>
      </w:tr>
      <w:tr w:rsidR="00666971" w:rsidRPr="00B82788" w14:paraId="3DC0EC7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EBFCE" w14:textId="1065D7EB" w:rsidR="00666971" w:rsidRPr="00B82788" w:rsidRDefault="00666971" w:rsidP="00EB2EE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Objasniti vrste komunikacija u cilju razvijanja komunikacijske vještine pojedinca</w:t>
            </w:r>
          </w:p>
        </w:tc>
      </w:tr>
      <w:tr w:rsidR="00056BAA" w:rsidRPr="00B82788" w14:paraId="67820537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3BACD" w14:textId="5A914E31" w:rsidR="00056BAA" w:rsidRPr="00B82788" w:rsidRDefault="00666971" w:rsidP="00EB2EE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Utvrditi specifičnosti poslovne komunikacije u cilju ostvarenja poslovnih ciljeva</w:t>
            </w:r>
          </w:p>
        </w:tc>
      </w:tr>
      <w:tr w:rsidR="00056BAA" w:rsidRPr="00B82788" w14:paraId="135C7710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EF869" w14:textId="5A5DE810" w:rsidR="00056BAA" w:rsidRPr="00B82788" w:rsidRDefault="002677DC" w:rsidP="00EB2EE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Identificirati važnost digitalnih komunikacija u poslovnoj organizaciji u kontekstu povezivanja s dionicima</w:t>
            </w:r>
          </w:p>
        </w:tc>
      </w:tr>
      <w:bookmarkEnd w:id="10"/>
      <w:tr w:rsidR="00056BAA" w:rsidRPr="00B82788" w14:paraId="717318E1" w14:textId="77777777" w:rsidTr="00EE003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06D04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56BAA" w:rsidRPr="00B82788" w14:paraId="5A67108A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8BD920" w14:textId="75275FF1" w:rsidR="00037304" w:rsidRPr="009C1AC4" w:rsidRDefault="0003730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</w:t>
            </w:r>
            <w:r w:rsidR="009C1A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sustav u ovom skupu ishoda učenja </w:t>
            </w:r>
            <w:r w:rsidR="00DA4C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678E5530" w14:textId="4D041883" w:rsidR="00E62722" w:rsidRPr="001B263F" w:rsidRDefault="0003730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Tijekom realizacije nastavnih sadržaja nastavnik najprije predavačkom nastavom tumači ključne pojmove vezane uz poslovnu komunikaciju u poslovnoj organizaciji. Nakon usvajanja osnovnih pojmova polaznici kroz </w:t>
            </w:r>
            <w:r w:rsidR="00F50039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radne 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zadatk</w:t>
            </w:r>
            <w:r w:rsidR="00F50039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individualno utvrđuju naučene pojmove i koncepte</w:t>
            </w:r>
            <w:r w:rsidR="002E0C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vezane uz polsovnu komunikaciju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  <w:r w:rsidR="002E0C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Kroz vježbe će polaznici uvježbati kako komunicirati da bi se postigli poslovni ciljevi.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Nastavnik po potrebi pomaže i usmjerava polaznika ka mogućem rješenju te nastavnik polazniku daje povratnu informaciju o uspješnosti rješavanja problema.</w:t>
            </w:r>
          </w:p>
        </w:tc>
      </w:tr>
      <w:tr w:rsidR="00056BAA" w:rsidRPr="00B82788" w14:paraId="33E2F442" w14:textId="77777777" w:rsidTr="00EE003F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272DF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DAEB3" w14:textId="391DDE3B" w:rsidR="00056BAA" w:rsidRPr="00B82788" w:rsidRDefault="0003730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Komunikacijske vještine </w:t>
            </w:r>
          </w:p>
          <w:p w14:paraId="49E346CA" w14:textId="0BDFA36D" w:rsidR="00037304" w:rsidRPr="00B82788" w:rsidRDefault="0003730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Poslovna komunikacija</w:t>
            </w:r>
          </w:p>
          <w:p w14:paraId="1D8D4971" w14:textId="7B67B010" w:rsidR="00037304" w:rsidRPr="00B82788" w:rsidRDefault="0003730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komunikacije</w:t>
            </w:r>
          </w:p>
          <w:p w14:paraId="53DA545E" w14:textId="34A14EF2" w:rsidR="00037304" w:rsidRPr="00B82788" w:rsidRDefault="0003730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Specifičnosti poslovne komunikacije </w:t>
            </w:r>
          </w:p>
          <w:p w14:paraId="5193F320" w14:textId="09E03CB9" w:rsidR="00056BAA" w:rsidRPr="001B263F" w:rsidRDefault="0003730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Digitalna komunikacija </w:t>
            </w:r>
          </w:p>
        </w:tc>
      </w:tr>
      <w:tr w:rsidR="00056BAA" w:rsidRPr="00B82788" w14:paraId="27F815F0" w14:textId="77777777" w:rsidTr="00EE003F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15574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56BAA" w:rsidRPr="00B82788" w14:paraId="65857184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BA0DE" w14:textId="1B2D4605" w:rsidR="002E0C7D" w:rsidRDefault="00ED1765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Radna situacija</w:t>
            </w:r>
            <w:r w:rsidR="002E0C7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: </w:t>
            </w:r>
          </w:p>
          <w:p w14:paraId="62E989FA" w14:textId="5AAA3495" w:rsidR="002E0C7D" w:rsidRPr="002E0C7D" w:rsidRDefault="002E0C7D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Polaznika se stavlja u </w:t>
            </w:r>
            <w:r w:rsidR="00ED176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ulogu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D176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zaposlenika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koji nadređenoga mora uvjeriti kako je bolje provesti analizu tržišta prije plasiranja proizvoda na novo tržište. Koristeći naučene modele poslovne komunikacije polaznik će komunikacijom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probati </w:t>
            </w:r>
            <w:r w:rsidR="003469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postići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cilj, a to je uvjeriti nadređenoga da je potrebno provesti analizu tržišta. Naposljetku će argumente korištene u komunikacija poslati nadređenom u pisanom obliku</w:t>
            </w:r>
            <w:r w:rsidR="003469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(e-mail)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kako bi nadređeni dalje mogao komunicirati sa svojim nadređenima.</w:t>
            </w:r>
          </w:p>
          <w:p w14:paraId="076FD4C9" w14:textId="77777777" w:rsidR="002E0C7D" w:rsidRDefault="002E0C7D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D72BB39" w14:textId="37599830" w:rsidR="00E62722" w:rsidRPr="003469D5" w:rsidRDefault="002E0C7D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Vrednovanje: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Pomoću unaprijed definiranih kriterija za elemente vrednovanja (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kvaliteta komunikacije, verbalna i neverbalna komunikacija, </w:t>
            </w:r>
            <w:r w:rsidR="003469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pisanje e-maila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 nastavnik boduje izrađenu analizu. Polaznik provodi samoevaluaciju provedenog istraživačkog rada.</w:t>
            </w:r>
          </w:p>
        </w:tc>
      </w:tr>
      <w:tr w:rsidR="00056BAA" w:rsidRPr="00B82788" w14:paraId="59ADD5EE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0BFE0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056BAA" w:rsidRPr="00B82788" w14:paraId="3EB67F8F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E7ABCB" w14:textId="03303E09" w:rsidR="00E62722" w:rsidRPr="00B82788" w:rsidRDefault="00E62722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slučaju da program upišu polaznici s invaliditetom, metode učenja biti će prilagođene pojedincu.</w:t>
            </w:r>
          </w:p>
        </w:tc>
      </w:tr>
    </w:tbl>
    <w:p w14:paraId="7C190EF7" w14:textId="77777777" w:rsidR="00F50039" w:rsidRPr="00B82788" w:rsidRDefault="00F50039" w:rsidP="00EB2EEF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56BAA" w:rsidRPr="00B82788" w14:paraId="04EC0337" w14:textId="77777777" w:rsidTr="00EE00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BA299B3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B82788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5"/>
            </w: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7EF5DBE" w14:textId="04F1D026" w:rsidR="00056BAA" w:rsidRPr="00B82788" w:rsidRDefault="0095403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bookmarkStart w:id="11" w:name="_Hlk124849785"/>
            <w:r w:rsidRPr="00B8278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Predstavljanje poslovnih podataka računalnom prezentacijom</w:t>
            </w:r>
            <w:bookmarkEnd w:id="11"/>
          </w:p>
        </w:tc>
      </w:tr>
      <w:tr w:rsidR="00056BAA" w:rsidRPr="00B82788" w14:paraId="662D805D" w14:textId="77777777" w:rsidTr="00EE003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440981" w14:textId="77777777" w:rsidR="00056BAA" w:rsidRPr="00B82788" w:rsidRDefault="00056BAA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56BAA" w:rsidRPr="00B82788" w14:paraId="41B830B9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25C34" w14:textId="0DC0F5FD" w:rsidR="00056BAA" w:rsidRPr="00B82788" w:rsidRDefault="002677DC" w:rsidP="00EB2EE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12" w:name="_Hlk124849790"/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Koristiti računalne programe za prezentiranje poslovnih podataka</w:t>
            </w:r>
          </w:p>
        </w:tc>
      </w:tr>
      <w:tr w:rsidR="002677DC" w:rsidRPr="00B82788" w14:paraId="624317F9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8FCB2" w14:textId="5E32AFCD" w:rsidR="002677DC" w:rsidRPr="00B82788" w:rsidRDefault="002677DC" w:rsidP="00EB2EE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Koristiti naredbe za uređivanje i oblikovanje prezentacije poslovnih podataka prema pravilima prezentiranja</w:t>
            </w:r>
          </w:p>
        </w:tc>
      </w:tr>
      <w:tr w:rsidR="002677DC" w:rsidRPr="00B82788" w14:paraId="65B11DC0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21088" w14:textId="056DD920" w:rsidR="002677DC" w:rsidRPr="00B82788" w:rsidRDefault="002677DC" w:rsidP="00EB2EE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Koristiti različite medijske sadržaje u multimedijskoj prezentaciji pri predstavljanju poslovnih podataka</w:t>
            </w:r>
          </w:p>
        </w:tc>
      </w:tr>
      <w:tr w:rsidR="002677DC" w:rsidRPr="00B82788" w14:paraId="68150F55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F419D" w14:textId="359474A6" w:rsidR="002677DC" w:rsidRPr="00B82788" w:rsidRDefault="002677DC" w:rsidP="00EB2EE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Odabrati načine ispisa prezentacije poslovnih podataka</w:t>
            </w:r>
          </w:p>
        </w:tc>
      </w:tr>
      <w:bookmarkEnd w:id="12"/>
      <w:tr w:rsidR="002677DC" w:rsidRPr="00B82788" w14:paraId="35F4A246" w14:textId="77777777" w:rsidTr="00EE003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FA0DEB" w14:textId="77777777" w:rsidR="002677DC" w:rsidRPr="00B82788" w:rsidRDefault="002677D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677DC" w:rsidRPr="00B82788" w14:paraId="4000B78D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C44CAB" w14:textId="1C91FF36" w:rsidR="00F50039" w:rsidRPr="007C031F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</w:t>
            </w:r>
            <w:r w:rsidR="007C03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sustav u ovom skupu ishoda učenja </w:t>
            </w:r>
            <w:r w:rsidR="00DA4C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05023039" w14:textId="5A958295" w:rsidR="00E62722" w:rsidRPr="00F64EE7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Tijekom realizacije nastavnih sadržaja nastavnik najprije predavačkom nastavom tumači ključne pojmove i metode prezentiranja poslovnih podataka. Nakon usvajanja osnovnih pojmova i metoda polaznici kroz projektni zadatak individualno utvrđuju naučene pojmove i metode.</w:t>
            </w:r>
            <w:r w:rsidR="003469D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Polaznici će projektnim zadatkom, odnosno izradom prezentacije i prezentiranjem analize kreirane u prijašnjem modulu ustvrditi dobivena znanja.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Nastavnik po potrebi pomaže i usmjerava polaznika ka mogućem rješenju te nastavnik polazniku daje povratnu informaciju o uspješnosti rješavanja problema.</w:t>
            </w:r>
          </w:p>
        </w:tc>
      </w:tr>
      <w:tr w:rsidR="002677DC" w:rsidRPr="00B82788" w14:paraId="28E654F0" w14:textId="77777777" w:rsidTr="00EE003F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E6294" w14:textId="77777777" w:rsidR="002677DC" w:rsidRPr="00B82788" w:rsidRDefault="002677D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01D12" w14:textId="4751E606" w:rsidR="00F50039" w:rsidRPr="00B82788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Zaštita na radu </w:t>
            </w:r>
          </w:p>
          <w:p w14:paraId="00681386" w14:textId="390B7624" w:rsidR="002677DC" w:rsidRPr="00B82788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Računalni programi za izradu prezentacija</w:t>
            </w:r>
          </w:p>
          <w:p w14:paraId="254824EE" w14:textId="77777777" w:rsidR="00F50039" w:rsidRPr="00B82788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Uređivanje prezentacije</w:t>
            </w:r>
          </w:p>
          <w:p w14:paraId="403C12ED" w14:textId="77777777" w:rsidR="00F50039" w:rsidRPr="00B82788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Multimedijska prezentacija</w:t>
            </w:r>
          </w:p>
          <w:p w14:paraId="7F458403" w14:textId="7161BFC3" w:rsidR="00F50039" w:rsidRPr="00B82788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Prezentacija poslovnih podataka</w:t>
            </w:r>
          </w:p>
        </w:tc>
      </w:tr>
      <w:tr w:rsidR="002677DC" w:rsidRPr="00B82788" w14:paraId="0B956E4B" w14:textId="77777777" w:rsidTr="00EE003F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539C1" w14:textId="77777777" w:rsidR="002677DC" w:rsidRPr="00B82788" w:rsidRDefault="002677D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677DC" w:rsidRPr="00B82788" w14:paraId="71E25018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684CA2" w14:textId="0C177308" w:rsidR="003469D5" w:rsidRDefault="00F165B4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Projektni zadatak:</w:t>
            </w:r>
          </w:p>
          <w:p w14:paraId="759A34BC" w14:textId="43F317B4" w:rsidR="00F50039" w:rsidRPr="00B82788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</w:t>
            </w:r>
            <w:r w:rsidR="00F165B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 </w:t>
            </w:r>
            <w:r w:rsidR="00752D7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se </w:t>
            </w:r>
            <w:r w:rsidR="00F165B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priprema </w:t>
            </w:r>
            <w:r w:rsidR="00682D8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</w:t>
            </w:r>
            <w:r w:rsidR="00F165B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prezent</w:t>
            </w:r>
            <w:r w:rsidR="00752D7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aciju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62722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analize koje </w:t>
            </w:r>
            <w:r w:rsidR="00682D8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je</w:t>
            </w:r>
            <w:r w:rsidR="00E62722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izrad</w:t>
            </w:r>
            <w:r w:rsidR="00682D8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io</w:t>
            </w:r>
            <w:r w:rsidR="00E62722"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u prvom modulu.</w:t>
            </w:r>
            <w:r w:rsidR="003469D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52D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</w:t>
            </w:r>
            <w:r w:rsidR="00E62722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mora sažeti vlastitu analizu na način da su glavni zaključci i dalje razumljivi te mora prezentirati dobivene podatke na pregledan i razumljiv način. Svaki polaznik će prezentirati svoju analizu pred ostalim polaznicima.</w:t>
            </w:r>
            <w:r w:rsidRPr="00B8278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7E60DBA" w14:textId="77777777" w:rsidR="00F50039" w:rsidRPr="00B82788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7D8852ED" w14:textId="078A4C36" w:rsidR="00E62722" w:rsidRPr="001003A8" w:rsidRDefault="00F50039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Pomoću unaprijed definiranih kriterija za elemente vrednovanja (</w:t>
            </w:r>
            <w:r w:rsidR="00E62722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dizajn prezentacije, jasno</w:t>
            </w:r>
            <w:r w:rsidR="00F11F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</w:t>
            </w:r>
            <w:r w:rsidR="00E62722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sadržaja, kvaliteta prezentiranja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 nastavnik boduje izrađenu analizu. Polaznik provodi samoevaluaciju provedenog istraživačkog rada.</w:t>
            </w:r>
          </w:p>
        </w:tc>
      </w:tr>
      <w:tr w:rsidR="002677DC" w:rsidRPr="00B82788" w14:paraId="1762ADA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AE9E" w14:textId="77777777" w:rsidR="002677DC" w:rsidRPr="00B82788" w:rsidRDefault="002677DC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677DC" w:rsidRPr="00B82788" w14:paraId="16386B9E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EADDA2" w14:textId="77777777" w:rsidR="002677DC" w:rsidRPr="00B82788" w:rsidRDefault="00E62722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slučaju da program upišu polaznici s invaliditetom, metode učenja biti će prilagođene pojedincu.</w:t>
            </w:r>
          </w:p>
          <w:p w14:paraId="605E2182" w14:textId="1BB62D0C" w:rsidR="00E62722" w:rsidRPr="00B82788" w:rsidRDefault="00E62722" w:rsidP="00EB2E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C1B3A91" w14:textId="77777777" w:rsidR="00056BAA" w:rsidRPr="004713DC" w:rsidRDefault="00056BAA" w:rsidP="00EB2EEF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0050AFE2" w:rsidR="004713DC" w:rsidRPr="004713DC" w:rsidRDefault="004713DC" w:rsidP="00EB2EEF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lastRenderedPageBreak/>
              <w:t>*Napomena:</w:t>
            </w:r>
          </w:p>
          <w:p w14:paraId="690CCEF2" w14:textId="77777777" w:rsidR="004713DC" w:rsidRPr="00445D30" w:rsidRDefault="004713DC" w:rsidP="00EB2EEF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24971C2" w14:textId="77777777" w:rsidR="007832C3" w:rsidRDefault="007832C3" w:rsidP="00EB2EEF">
      <w:pPr>
        <w:autoSpaceDE w:val="0"/>
        <w:autoSpaceDN w:val="0"/>
        <w:adjustRightInd w:val="0"/>
        <w:spacing w:after="160" w:line="300" w:lineRule="atLeast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2CE5ADCE" w:rsidR="004713DC" w:rsidRPr="004713DC" w:rsidRDefault="004713DC" w:rsidP="00EB2EEF">
      <w:pPr>
        <w:autoSpaceDE w:val="0"/>
        <w:autoSpaceDN w:val="0"/>
        <w:adjustRightInd w:val="0"/>
        <w:spacing w:after="160" w:line="300" w:lineRule="atLeast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EB2EE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01EF7D1" w:rsidR="004713DC" w:rsidRPr="004713DC" w:rsidRDefault="004713DC" w:rsidP="00EB2EE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EB2EE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6F160D5A" w:rsidR="004713DC" w:rsidRPr="004713DC" w:rsidRDefault="004713DC" w:rsidP="00EB2EE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EB2EE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3C0B1C6C" w:rsidR="004713DC" w:rsidRPr="004713DC" w:rsidRDefault="004713DC" w:rsidP="00EB2EE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 w:rsidP="00EB2EEF">
      <w:pPr>
        <w:jc w:val="both"/>
      </w:pPr>
    </w:p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B1EC" w14:textId="77777777" w:rsidR="003D4A43" w:rsidRDefault="003D4A43" w:rsidP="00C759FB">
      <w:pPr>
        <w:spacing w:after="0" w:line="240" w:lineRule="auto"/>
      </w:pPr>
      <w:r>
        <w:separator/>
      </w:r>
    </w:p>
  </w:endnote>
  <w:endnote w:type="continuationSeparator" w:id="0">
    <w:p w14:paraId="761DF895" w14:textId="77777777" w:rsidR="003D4A43" w:rsidRDefault="003D4A4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6A54" w14:textId="77777777" w:rsidR="003D4A43" w:rsidRDefault="003D4A43" w:rsidP="00C759FB">
      <w:pPr>
        <w:spacing w:after="0" w:line="240" w:lineRule="auto"/>
      </w:pPr>
      <w:r>
        <w:separator/>
      </w:r>
    </w:p>
  </w:footnote>
  <w:footnote w:type="continuationSeparator" w:id="0">
    <w:p w14:paraId="78C21A38" w14:textId="77777777" w:rsidR="003D4A43" w:rsidRDefault="003D4A43" w:rsidP="00C759FB">
      <w:pPr>
        <w:spacing w:after="0" w:line="240" w:lineRule="auto"/>
      </w:pPr>
      <w:r>
        <w:continuationSeparator/>
      </w:r>
    </w:p>
  </w:footnote>
  <w:footnote w:id="1">
    <w:p w14:paraId="4B716A8B" w14:textId="77777777" w:rsidR="00EF3DFC" w:rsidRPr="005839F8" w:rsidRDefault="00EF3DFC" w:rsidP="00EF3DF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9113DAC" w14:textId="77777777" w:rsidR="00EF3DFC" w:rsidRDefault="00EF3DFC" w:rsidP="00EF3DFC">
      <w:pPr>
        <w:pStyle w:val="FootnoteText"/>
      </w:pPr>
    </w:p>
  </w:footnote>
  <w:footnote w:id="2">
    <w:p w14:paraId="77A8E72C" w14:textId="77777777" w:rsidR="00056BAA" w:rsidRPr="005839F8" w:rsidRDefault="00056BAA" w:rsidP="00056BAA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5B97FBE" w14:textId="77777777" w:rsidR="00056BAA" w:rsidRDefault="00056BAA" w:rsidP="00056BAA">
      <w:pPr>
        <w:pStyle w:val="FootnoteText"/>
      </w:pPr>
    </w:p>
  </w:footnote>
  <w:footnote w:id="3">
    <w:p w14:paraId="0C9D6AC2" w14:textId="77777777" w:rsidR="00056BAA" w:rsidRPr="005839F8" w:rsidRDefault="00056BAA" w:rsidP="00056BAA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E154076" w14:textId="77777777" w:rsidR="00056BAA" w:rsidRDefault="00056BAA" w:rsidP="00056BAA">
      <w:pPr>
        <w:pStyle w:val="FootnoteText"/>
      </w:pPr>
    </w:p>
  </w:footnote>
  <w:footnote w:id="4">
    <w:p w14:paraId="7A48719A" w14:textId="77777777" w:rsidR="00056BAA" w:rsidRPr="005839F8" w:rsidRDefault="00056BAA" w:rsidP="00056BAA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83B2D49" w14:textId="77777777" w:rsidR="00056BAA" w:rsidRDefault="00056BAA" w:rsidP="00056BAA">
      <w:pPr>
        <w:pStyle w:val="FootnoteText"/>
      </w:pPr>
    </w:p>
  </w:footnote>
  <w:footnote w:id="5">
    <w:p w14:paraId="0D855BC0" w14:textId="77777777" w:rsidR="00056BAA" w:rsidRPr="005839F8" w:rsidRDefault="00056BAA" w:rsidP="00056BAA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01D95F0" w14:textId="77777777" w:rsidR="00056BAA" w:rsidRDefault="00056BAA" w:rsidP="00056BA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90A"/>
    <w:multiLevelType w:val="hybridMultilevel"/>
    <w:tmpl w:val="C076E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3B50"/>
    <w:multiLevelType w:val="hybridMultilevel"/>
    <w:tmpl w:val="DE921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F3C"/>
    <w:multiLevelType w:val="hybridMultilevel"/>
    <w:tmpl w:val="6F3C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219A"/>
    <w:multiLevelType w:val="hybridMultilevel"/>
    <w:tmpl w:val="FE9C4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1DBB"/>
    <w:multiLevelType w:val="hybridMultilevel"/>
    <w:tmpl w:val="5A328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03219"/>
    <w:multiLevelType w:val="hybridMultilevel"/>
    <w:tmpl w:val="094C1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097C"/>
    <w:multiLevelType w:val="hybridMultilevel"/>
    <w:tmpl w:val="7DD26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0865"/>
    <w:multiLevelType w:val="hybridMultilevel"/>
    <w:tmpl w:val="26C854B0"/>
    <w:lvl w:ilvl="0" w:tplc="1ABCE1C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A382B"/>
    <w:multiLevelType w:val="hybridMultilevel"/>
    <w:tmpl w:val="D9A4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D2FD0"/>
    <w:multiLevelType w:val="hybridMultilevel"/>
    <w:tmpl w:val="BBDA5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9004A"/>
    <w:multiLevelType w:val="hybridMultilevel"/>
    <w:tmpl w:val="027ED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7638"/>
    <w:multiLevelType w:val="hybridMultilevel"/>
    <w:tmpl w:val="8DAED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25B5B"/>
    <w:multiLevelType w:val="hybridMultilevel"/>
    <w:tmpl w:val="F92ED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058D"/>
    <w:multiLevelType w:val="hybridMultilevel"/>
    <w:tmpl w:val="57A272AE"/>
    <w:lvl w:ilvl="0" w:tplc="C8E2340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33362"/>
    <w:multiLevelType w:val="hybridMultilevel"/>
    <w:tmpl w:val="A4306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3538">
    <w:abstractNumId w:val="2"/>
  </w:num>
  <w:num w:numId="2" w16cid:durableId="45954876">
    <w:abstractNumId w:val="5"/>
  </w:num>
  <w:num w:numId="3" w16cid:durableId="1389576355">
    <w:abstractNumId w:val="9"/>
  </w:num>
  <w:num w:numId="4" w16cid:durableId="1042443630">
    <w:abstractNumId w:val="0"/>
  </w:num>
  <w:num w:numId="5" w16cid:durableId="427387829">
    <w:abstractNumId w:val="7"/>
  </w:num>
  <w:num w:numId="6" w16cid:durableId="372772497">
    <w:abstractNumId w:val="11"/>
  </w:num>
  <w:num w:numId="7" w16cid:durableId="727533236">
    <w:abstractNumId w:val="3"/>
  </w:num>
  <w:num w:numId="8" w16cid:durableId="1756170436">
    <w:abstractNumId w:val="13"/>
  </w:num>
  <w:num w:numId="9" w16cid:durableId="1716733923">
    <w:abstractNumId w:val="8"/>
  </w:num>
  <w:num w:numId="10" w16cid:durableId="1821851051">
    <w:abstractNumId w:val="14"/>
  </w:num>
  <w:num w:numId="11" w16cid:durableId="1895694987">
    <w:abstractNumId w:val="12"/>
  </w:num>
  <w:num w:numId="12" w16cid:durableId="282539928">
    <w:abstractNumId w:val="4"/>
  </w:num>
  <w:num w:numId="13" w16cid:durableId="1576671959">
    <w:abstractNumId w:val="1"/>
  </w:num>
  <w:num w:numId="14" w16cid:durableId="298263195">
    <w:abstractNumId w:val="15"/>
  </w:num>
  <w:num w:numId="15" w16cid:durableId="1835603638">
    <w:abstractNumId w:val="6"/>
  </w:num>
  <w:num w:numId="16" w16cid:durableId="781269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27B0"/>
    <w:rsid w:val="00012313"/>
    <w:rsid w:val="000132E9"/>
    <w:rsid w:val="00037304"/>
    <w:rsid w:val="0004002A"/>
    <w:rsid w:val="00056BAA"/>
    <w:rsid w:val="00066F66"/>
    <w:rsid w:val="00074CAF"/>
    <w:rsid w:val="0009602C"/>
    <w:rsid w:val="000B6176"/>
    <w:rsid w:val="000F51F4"/>
    <w:rsid w:val="001003A8"/>
    <w:rsid w:val="001038B2"/>
    <w:rsid w:val="00106289"/>
    <w:rsid w:val="00107971"/>
    <w:rsid w:val="0013224F"/>
    <w:rsid w:val="00140D5D"/>
    <w:rsid w:val="00163BCD"/>
    <w:rsid w:val="001650DA"/>
    <w:rsid w:val="00193DC6"/>
    <w:rsid w:val="001B263F"/>
    <w:rsid w:val="00206D59"/>
    <w:rsid w:val="002132BF"/>
    <w:rsid w:val="0022004A"/>
    <w:rsid w:val="00266044"/>
    <w:rsid w:val="002677DC"/>
    <w:rsid w:val="00273D52"/>
    <w:rsid w:val="00283976"/>
    <w:rsid w:val="002A43CA"/>
    <w:rsid w:val="002B62DD"/>
    <w:rsid w:val="002E0C7D"/>
    <w:rsid w:val="002E2B6A"/>
    <w:rsid w:val="002E514C"/>
    <w:rsid w:val="00311D5D"/>
    <w:rsid w:val="00343228"/>
    <w:rsid w:val="003469D5"/>
    <w:rsid w:val="00372E89"/>
    <w:rsid w:val="003A2535"/>
    <w:rsid w:val="003D4A43"/>
    <w:rsid w:val="003F2F14"/>
    <w:rsid w:val="00407252"/>
    <w:rsid w:val="004134E8"/>
    <w:rsid w:val="00423F49"/>
    <w:rsid w:val="00445D30"/>
    <w:rsid w:val="00447437"/>
    <w:rsid w:val="00452175"/>
    <w:rsid w:val="004713DC"/>
    <w:rsid w:val="00472C96"/>
    <w:rsid w:val="00485CFB"/>
    <w:rsid w:val="00497025"/>
    <w:rsid w:val="004B7F93"/>
    <w:rsid w:val="004C2BDB"/>
    <w:rsid w:val="00501EE6"/>
    <w:rsid w:val="0051790C"/>
    <w:rsid w:val="0054042F"/>
    <w:rsid w:val="005447CE"/>
    <w:rsid w:val="005526EF"/>
    <w:rsid w:val="0057227A"/>
    <w:rsid w:val="00575027"/>
    <w:rsid w:val="00576771"/>
    <w:rsid w:val="005839F8"/>
    <w:rsid w:val="00585D4E"/>
    <w:rsid w:val="00590A19"/>
    <w:rsid w:val="00597AC6"/>
    <w:rsid w:val="005A7DD7"/>
    <w:rsid w:val="005F4B42"/>
    <w:rsid w:val="00611A7F"/>
    <w:rsid w:val="00640BA0"/>
    <w:rsid w:val="00666971"/>
    <w:rsid w:val="006728FE"/>
    <w:rsid w:val="00682D8F"/>
    <w:rsid w:val="00685FE5"/>
    <w:rsid w:val="006864EC"/>
    <w:rsid w:val="006B163E"/>
    <w:rsid w:val="006F7183"/>
    <w:rsid w:val="00726512"/>
    <w:rsid w:val="00727AED"/>
    <w:rsid w:val="00742B80"/>
    <w:rsid w:val="007438AD"/>
    <w:rsid w:val="00750F7D"/>
    <w:rsid w:val="00752D76"/>
    <w:rsid w:val="00773487"/>
    <w:rsid w:val="00780EC5"/>
    <w:rsid w:val="007832C3"/>
    <w:rsid w:val="007A50A0"/>
    <w:rsid w:val="007C031F"/>
    <w:rsid w:val="007D1D44"/>
    <w:rsid w:val="00844401"/>
    <w:rsid w:val="008508A4"/>
    <w:rsid w:val="00857369"/>
    <w:rsid w:val="008579FC"/>
    <w:rsid w:val="00857AFB"/>
    <w:rsid w:val="00866C34"/>
    <w:rsid w:val="00876EB8"/>
    <w:rsid w:val="008813FC"/>
    <w:rsid w:val="008828A0"/>
    <w:rsid w:val="008926BB"/>
    <w:rsid w:val="008930AC"/>
    <w:rsid w:val="008E10C2"/>
    <w:rsid w:val="008E1390"/>
    <w:rsid w:val="008F71E0"/>
    <w:rsid w:val="009158E4"/>
    <w:rsid w:val="00953EE6"/>
    <w:rsid w:val="0095403C"/>
    <w:rsid w:val="009612C9"/>
    <w:rsid w:val="00970DDF"/>
    <w:rsid w:val="009857DD"/>
    <w:rsid w:val="009A7878"/>
    <w:rsid w:val="009C1AC4"/>
    <w:rsid w:val="00A06F11"/>
    <w:rsid w:val="00A16E66"/>
    <w:rsid w:val="00A44E32"/>
    <w:rsid w:val="00A651D4"/>
    <w:rsid w:val="00A731D5"/>
    <w:rsid w:val="00A7541F"/>
    <w:rsid w:val="00A8203E"/>
    <w:rsid w:val="00A90AA7"/>
    <w:rsid w:val="00AA1DBD"/>
    <w:rsid w:val="00AC4B82"/>
    <w:rsid w:val="00AC59B4"/>
    <w:rsid w:val="00AD67E1"/>
    <w:rsid w:val="00AD7BE0"/>
    <w:rsid w:val="00AE4955"/>
    <w:rsid w:val="00AF2F08"/>
    <w:rsid w:val="00AF634C"/>
    <w:rsid w:val="00B360C5"/>
    <w:rsid w:val="00B408D1"/>
    <w:rsid w:val="00B42499"/>
    <w:rsid w:val="00B52B2B"/>
    <w:rsid w:val="00B6483E"/>
    <w:rsid w:val="00B82788"/>
    <w:rsid w:val="00B91B72"/>
    <w:rsid w:val="00B97ADF"/>
    <w:rsid w:val="00BC4E11"/>
    <w:rsid w:val="00C44554"/>
    <w:rsid w:val="00C50BD0"/>
    <w:rsid w:val="00C632C8"/>
    <w:rsid w:val="00C759FB"/>
    <w:rsid w:val="00CC1C87"/>
    <w:rsid w:val="00CD410E"/>
    <w:rsid w:val="00CD4A2F"/>
    <w:rsid w:val="00CD4E04"/>
    <w:rsid w:val="00CE56A2"/>
    <w:rsid w:val="00D114E8"/>
    <w:rsid w:val="00D13092"/>
    <w:rsid w:val="00D15181"/>
    <w:rsid w:val="00D24E09"/>
    <w:rsid w:val="00D33F74"/>
    <w:rsid w:val="00D3730D"/>
    <w:rsid w:val="00D64355"/>
    <w:rsid w:val="00D64D2C"/>
    <w:rsid w:val="00D81420"/>
    <w:rsid w:val="00D9461C"/>
    <w:rsid w:val="00DA4C31"/>
    <w:rsid w:val="00DB2CDD"/>
    <w:rsid w:val="00DC1542"/>
    <w:rsid w:val="00DD6738"/>
    <w:rsid w:val="00DF2881"/>
    <w:rsid w:val="00DF46D8"/>
    <w:rsid w:val="00DF7205"/>
    <w:rsid w:val="00E07E18"/>
    <w:rsid w:val="00E55218"/>
    <w:rsid w:val="00E62722"/>
    <w:rsid w:val="00E773AD"/>
    <w:rsid w:val="00E93D7D"/>
    <w:rsid w:val="00E951B5"/>
    <w:rsid w:val="00EB2EEF"/>
    <w:rsid w:val="00EC5497"/>
    <w:rsid w:val="00ED1765"/>
    <w:rsid w:val="00ED5950"/>
    <w:rsid w:val="00ED5A78"/>
    <w:rsid w:val="00EE09B0"/>
    <w:rsid w:val="00EF3DFC"/>
    <w:rsid w:val="00F11FC9"/>
    <w:rsid w:val="00F165B4"/>
    <w:rsid w:val="00F31139"/>
    <w:rsid w:val="00F31F5E"/>
    <w:rsid w:val="00F35919"/>
    <w:rsid w:val="00F50039"/>
    <w:rsid w:val="00F64EE7"/>
    <w:rsid w:val="00F86C16"/>
    <w:rsid w:val="00F9793E"/>
    <w:rsid w:val="00FB0D00"/>
    <w:rsid w:val="00FD0D78"/>
    <w:rsid w:val="00FD3D78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78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4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39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ishoda-ucenja/detalji/1159" TargetMode="External"/><Relationship Id="rId18" Type="http://schemas.openxmlformats.org/officeDocument/2006/relationships/hyperlink" Target="https://hko.srce.hr/registar/skup-ishoda-ucenja/detalji/2563" TargetMode="External"/><Relationship Id="rId26" Type="http://schemas.openxmlformats.org/officeDocument/2006/relationships/hyperlink" Target="https://hko.srce.hr/registar/skup-ishoda-ucenja/detalji/59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59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hko.srce.hr/registar/standard-zanimanja/detalji/49" TargetMode="External"/><Relationship Id="rId12" Type="http://schemas.openxmlformats.org/officeDocument/2006/relationships/hyperlink" Target="https://hko.srce.hr/registar/skup-ishoda-ucenja/detalji/5905" TargetMode="External"/><Relationship Id="rId17" Type="http://schemas.openxmlformats.org/officeDocument/2006/relationships/hyperlink" Target="https://hko.srce.hr/registar/standard-kvalifikacije/detalji/85" TargetMode="External"/><Relationship Id="rId25" Type="http://schemas.openxmlformats.org/officeDocument/2006/relationships/hyperlink" Target="https://hko.srce.hr/registar/skup-ishoda-ucenja/detalji/115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5906" TargetMode="External"/><Relationship Id="rId20" Type="http://schemas.openxmlformats.org/officeDocument/2006/relationships/hyperlink" Target="https://hko.srce.hr/registar/skup-ishoda-ucenja/detalji/1159" TargetMode="External"/><Relationship Id="rId29" Type="http://schemas.openxmlformats.org/officeDocument/2006/relationships/hyperlink" Target="https://zastitanaradu.com.hr/novosti/Opasnosti-kod-rada-na-racunalu-i-pravilne-vjezbe-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tandard-kvalifikacije/detalji/40" TargetMode="External"/><Relationship Id="rId24" Type="http://schemas.openxmlformats.org/officeDocument/2006/relationships/hyperlink" Target="https://hko.srce.hr/registar/skup-ishoda-ucenja/detalji/5905" TargetMode="External"/><Relationship Id="rId32" Type="http://schemas.openxmlformats.org/officeDocument/2006/relationships/hyperlink" Target="https://osha.europa.eu/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tandard-kvalifikacije/detalji/171" TargetMode="External"/><Relationship Id="rId23" Type="http://schemas.openxmlformats.org/officeDocument/2006/relationships/hyperlink" Target="https://hko.srce.hr/registar/skup-ishoda-ucenja/detalji/2563" TargetMode="External"/><Relationship Id="rId28" Type="http://schemas.openxmlformats.org/officeDocument/2006/relationships/hyperlink" Target="https://hko.srce.hr/registar/skup-ishoda-ucenja/detalji/2563" TargetMode="External"/><Relationship Id="rId10" Type="http://schemas.openxmlformats.org/officeDocument/2006/relationships/hyperlink" Target="https://hko.srce.hr/registar/skup-kompetencija/detalji/2343" TargetMode="External"/><Relationship Id="rId19" Type="http://schemas.openxmlformats.org/officeDocument/2006/relationships/hyperlink" Target="https://hko.srce.hr/registar/skup-ishoda-ucenja/detalji/5905" TargetMode="External"/><Relationship Id="rId31" Type="http://schemas.openxmlformats.org/officeDocument/2006/relationships/hyperlink" Target="https://www.hup.hr/EasyEdit/UserFiles/Ivana%20Zlatari%C4%87/prirucnik-za-praktican-r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zanimanja/detalji/280" TargetMode="External"/><Relationship Id="rId14" Type="http://schemas.openxmlformats.org/officeDocument/2006/relationships/hyperlink" Target="https://hko.srce.hr/registar/skup-ishoda-ucenja/detalji/1202" TargetMode="External"/><Relationship Id="rId22" Type="http://schemas.openxmlformats.org/officeDocument/2006/relationships/hyperlink" Target="https://hko.srce.hr/registar/skup-ishoda-ucenja/detalji/1202" TargetMode="External"/><Relationship Id="rId27" Type="http://schemas.openxmlformats.org/officeDocument/2006/relationships/hyperlink" Target="https://hko.srce.hr/registar/skup-ishoda-ucenja/detalji/1202" TargetMode="External"/><Relationship Id="rId30" Type="http://schemas.openxmlformats.org/officeDocument/2006/relationships/hyperlink" Target="https://www.mingo.hr/public/Poduzetnistvo/112-vodic-zastita-na-radu-lowreswebfinal.pdf" TargetMode="External"/><Relationship Id="rId8" Type="http://schemas.openxmlformats.org/officeDocument/2006/relationships/hyperlink" Target="https://hko.srce.hr/registar/skup-kompetencija/detalji/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12</Pages>
  <Words>4295</Words>
  <Characters>24488</Characters>
  <Application>Microsoft Office Word</Application>
  <DocSecurity>0</DocSecurity>
  <Lines>204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96</cp:revision>
  <dcterms:created xsi:type="dcterms:W3CDTF">2023-01-16T15:00:00Z</dcterms:created>
  <dcterms:modified xsi:type="dcterms:W3CDTF">2023-05-08T09:10:00Z</dcterms:modified>
</cp:coreProperties>
</file>