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578E" w14:textId="084A99EC" w:rsidR="00C639F8" w:rsidRPr="00925915" w:rsidRDefault="00B267DA" w:rsidP="00C639F8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Naziv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ustanove</w:t>
      </w:r>
      <w:proofErr w:type="spellEnd"/>
    </w:p>
    <w:p w14:paraId="642B578F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0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1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2" w14:textId="77777777" w:rsidR="00C639F8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3" w14:textId="77777777" w:rsidR="00C639F8" w:rsidRDefault="00C639F8" w:rsidP="00C639F8">
      <w:pPr>
        <w:rPr>
          <w:rFonts w:cstheme="minorHAnsi"/>
          <w:b/>
          <w:bCs/>
          <w:sz w:val="48"/>
          <w:szCs w:val="48"/>
        </w:rPr>
      </w:pPr>
    </w:p>
    <w:p w14:paraId="642B5795" w14:textId="77777777" w:rsidR="00C639F8" w:rsidRPr="00AE4955" w:rsidRDefault="00C639F8" w:rsidP="00C639F8">
      <w:pPr>
        <w:jc w:val="center"/>
        <w:rPr>
          <w:rFonts w:cstheme="minorHAnsi"/>
          <w:b/>
          <w:bCs/>
          <w:sz w:val="48"/>
          <w:szCs w:val="48"/>
        </w:rPr>
      </w:pPr>
    </w:p>
    <w:p w14:paraId="6B758079" w14:textId="77777777" w:rsidR="0092591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Program </w:t>
      </w:r>
      <w:r w:rsid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obrazovanja</w:t>
      </w:r>
    </w:p>
    <w:p w14:paraId="642B5796" w14:textId="65077DE4" w:rsidR="00C639F8" w:rsidRPr="0092591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za stjecanje mikrokvalifikacije</w:t>
      </w:r>
    </w:p>
    <w:p w14:paraId="642B5797" w14:textId="092BBD43" w:rsidR="00C639F8" w:rsidRPr="00624DDE" w:rsidRDefault="000E7DF7" w:rsidP="00925915">
      <w:pPr>
        <w:spacing w:after="200" w:line="276" w:lineRule="auto"/>
        <w:jc w:val="center"/>
        <w:rPr>
          <w:rFonts w:cstheme="minorHAnsi"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rukovanje viličarom</w:t>
      </w:r>
      <w:r w:rsidR="00073A4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 </w:t>
      </w:r>
      <w:r w:rsidR="00EC422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u skladišnom prostoru</w:t>
      </w:r>
    </w:p>
    <w:p w14:paraId="642B5798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9" w14:textId="77777777" w:rsidR="00C639F8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A" w14:textId="77777777" w:rsidR="00B7554B" w:rsidRPr="00AE4955" w:rsidRDefault="00B7554B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B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C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D" w14:textId="77777777" w:rsidR="00C639F8" w:rsidRPr="00AE4955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E" w14:textId="77777777" w:rsidR="00C639F8" w:rsidRDefault="00C639F8" w:rsidP="00C639F8">
      <w:pPr>
        <w:jc w:val="center"/>
        <w:rPr>
          <w:rFonts w:cstheme="minorHAnsi"/>
          <w:b/>
          <w:bCs/>
          <w:sz w:val="24"/>
          <w:szCs w:val="24"/>
        </w:rPr>
      </w:pPr>
    </w:p>
    <w:p w14:paraId="642B579F" w14:textId="77777777" w:rsidR="00C639F8" w:rsidRDefault="00C639F8" w:rsidP="00C639F8">
      <w:pPr>
        <w:rPr>
          <w:rFonts w:cstheme="minorHAnsi"/>
          <w:b/>
          <w:bCs/>
          <w:sz w:val="24"/>
          <w:szCs w:val="24"/>
        </w:rPr>
      </w:pPr>
    </w:p>
    <w:p w14:paraId="642B57A0" w14:textId="77777777" w:rsidR="00624DDE" w:rsidRPr="00AE4955" w:rsidRDefault="00624DDE" w:rsidP="00C639F8">
      <w:pPr>
        <w:rPr>
          <w:rFonts w:cstheme="minorHAnsi"/>
          <w:b/>
          <w:bCs/>
          <w:sz w:val="24"/>
          <w:szCs w:val="24"/>
        </w:rPr>
      </w:pPr>
    </w:p>
    <w:p w14:paraId="642B57A1" w14:textId="77777777" w:rsidR="00C639F8" w:rsidRPr="00AE4955" w:rsidRDefault="00C639F8" w:rsidP="00C639F8">
      <w:pPr>
        <w:ind w:left="710"/>
        <w:jc w:val="center"/>
        <w:rPr>
          <w:rFonts w:cstheme="minorHAnsi"/>
          <w:b/>
          <w:bCs/>
          <w:sz w:val="24"/>
          <w:szCs w:val="24"/>
        </w:rPr>
      </w:pPr>
    </w:p>
    <w:p w14:paraId="642B57A2" w14:textId="77777777" w:rsidR="00C639F8" w:rsidRPr="00AE4955" w:rsidRDefault="00C639F8" w:rsidP="00C639F8">
      <w:pPr>
        <w:ind w:left="710"/>
        <w:jc w:val="center"/>
        <w:rPr>
          <w:rFonts w:cstheme="minorHAnsi"/>
          <w:b/>
          <w:bCs/>
          <w:sz w:val="24"/>
          <w:szCs w:val="24"/>
        </w:rPr>
      </w:pPr>
    </w:p>
    <w:p w14:paraId="642B57A4" w14:textId="308F6BEA" w:rsidR="00C639F8" w:rsidRPr="00925915" w:rsidRDefault="00073A41" w:rsidP="00784DB4">
      <w:pPr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Mjesto</w:t>
      </w:r>
      <w:proofErr w:type="spellEnd"/>
      <w:r>
        <w:rPr>
          <w:rFonts w:cstheme="minorHAnsi"/>
          <w:b/>
          <w:sz w:val="28"/>
          <w:szCs w:val="28"/>
        </w:rPr>
        <w:t>,</w:t>
      </w:r>
      <w:r w:rsidR="00C639F8" w:rsidRPr="0092591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datum</w:t>
      </w:r>
      <w:r w:rsidR="00C639F8" w:rsidRPr="00925915">
        <w:rPr>
          <w:rFonts w:cstheme="minorHAnsi"/>
          <w:b/>
          <w:sz w:val="28"/>
          <w:szCs w:val="28"/>
        </w:rPr>
        <w:t xml:space="preserve"> </w:t>
      </w:r>
    </w:p>
    <w:p w14:paraId="642B57A5" w14:textId="77777777" w:rsidR="00695A75" w:rsidRPr="0043478C" w:rsidRDefault="00C639F8" w:rsidP="0043478C">
      <w:pPr>
        <w:pStyle w:val="Odlomakpopisa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43478C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509"/>
        <w:gridCol w:w="2460"/>
        <w:gridCol w:w="2838"/>
      </w:tblGrid>
      <w:tr w:rsidR="00C639F8" w:rsidRPr="00F919E2" w14:paraId="642B57A8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A6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642B57A7" w14:textId="42E593FC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639F8" w:rsidRPr="00F919E2" w14:paraId="642B57AC" w14:textId="77777777" w:rsidTr="00AE440C">
        <w:trPr>
          <w:trHeight w:val="304"/>
        </w:trPr>
        <w:tc>
          <w:tcPr>
            <w:tcW w:w="1384" w:type="pct"/>
            <w:tcBorders>
              <w:bottom w:val="single" w:sz="6" w:space="0" w:color="auto"/>
            </w:tcBorders>
            <w:shd w:val="clear" w:color="auto" w:fill="B8CCE4"/>
            <w:hideMark/>
          </w:tcPr>
          <w:p w14:paraId="642B57A9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642B57AA" w14:textId="72D6DFF8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945E37F" w14:textId="77777777" w:rsidR="00C639F8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Promet i logistika</w:t>
            </w:r>
          </w:p>
          <w:p w14:paraId="642B57AB" w14:textId="385B1578" w:rsidR="005723FC" w:rsidRPr="00F919E2" w:rsidRDefault="005723FC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AF" w14:textId="77777777" w:rsidTr="00BD7648">
        <w:trPr>
          <w:trHeight w:val="314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hideMark/>
          </w:tcPr>
          <w:p w14:paraId="642B57AD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AE" w14:textId="675CA12D" w:rsidR="00C639F8" w:rsidRPr="0043478C" w:rsidRDefault="00C639F8" w:rsidP="002F4FB0">
            <w:pPr>
              <w:spacing w:before="60" w:after="60" w:line="240" w:lineRule="auto"/>
              <w:rPr>
                <w:rFonts w:ascii="Calibri" w:hAnsi="Calibri" w:cs="Calibri"/>
                <w:b/>
                <w:noProof/>
                <w:sz w:val="20"/>
                <w:szCs w:val="20"/>
                <w:lang w:val="hr-HR"/>
              </w:rPr>
            </w:pPr>
            <w:r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Program </w:t>
            </w:r>
            <w:r w:rsidR="00925915"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obrazovanja </w:t>
            </w:r>
            <w:r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za stjecanje mikrokvalifikacije rukova</w:t>
            </w:r>
            <w:r w:rsidR="00A45006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nje</w:t>
            </w:r>
            <w:r w:rsidRPr="0043478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viličarom</w:t>
            </w:r>
            <w:r w:rsidR="00EC422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u skladišnom prostoru</w:t>
            </w:r>
          </w:p>
        </w:tc>
      </w:tr>
      <w:tr w:rsidR="00C639F8" w:rsidRPr="00F919E2" w14:paraId="642B57B2" w14:textId="77777777" w:rsidTr="00AE440C">
        <w:trPr>
          <w:trHeight w:val="304"/>
        </w:trPr>
        <w:tc>
          <w:tcPr>
            <w:tcW w:w="1384" w:type="pct"/>
            <w:tcBorders>
              <w:top w:val="single" w:sz="6" w:space="0" w:color="auto"/>
            </w:tcBorders>
            <w:shd w:val="clear" w:color="auto" w:fill="B8CCE4"/>
            <w:hideMark/>
          </w:tcPr>
          <w:p w14:paraId="642B57B0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B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sposobljavanje</w:t>
            </w:r>
          </w:p>
        </w:tc>
      </w:tr>
      <w:tr w:rsidR="00C639F8" w:rsidRPr="00F919E2" w14:paraId="642B57B6" w14:textId="77777777" w:rsidTr="00AE440C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642B57B3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tcBorders>
              <w:top w:val="single" w:sz="6" w:space="0" w:color="auto"/>
            </w:tcBorders>
            <w:shd w:val="clear" w:color="auto" w:fill="B4C6E7" w:themeFill="accent5" w:themeFillTint="66"/>
            <w:hideMark/>
          </w:tcPr>
          <w:p w14:paraId="642B57B4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tcBorders>
              <w:top w:val="single" w:sz="6" w:space="0" w:color="auto"/>
            </w:tcBorders>
            <w:vAlign w:val="center"/>
          </w:tcPr>
          <w:p w14:paraId="642B57B5" w14:textId="44E337F8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BA" w14:textId="77777777" w:rsidTr="002F4FB0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42B57B7" w14:textId="77777777" w:rsidR="00C639F8" w:rsidRPr="00F919E2" w:rsidRDefault="00C639F8" w:rsidP="002F4FB0">
            <w:pPr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4C6E7" w:themeFill="accent5" w:themeFillTint="66"/>
            <w:hideMark/>
          </w:tcPr>
          <w:p w14:paraId="642B57B8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642B57B9" w14:textId="1F94F73C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BD" w14:textId="77777777" w:rsidTr="002F4FB0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42B57BB" w14:textId="7C6B043C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18FA0FC3" w14:textId="21DA4A77" w:rsidR="00E96E9C" w:rsidRDefault="00C639F8" w:rsidP="002F4FB0">
            <w:pPr>
              <w:spacing w:before="60" w:after="60" w:line="240" w:lineRule="auto"/>
              <w:rPr>
                <w:sz w:val="20"/>
                <w:szCs w:val="20"/>
              </w:rPr>
            </w:pPr>
            <w:r w:rsidRPr="0077737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1: </w:t>
            </w:r>
            <w:proofErr w:type="spellStart"/>
            <w:r w:rsidRPr="000B1152">
              <w:rPr>
                <w:bCs/>
                <w:sz w:val="20"/>
                <w:szCs w:val="20"/>
              </w:rPr>
              <w:t>Rukovanje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1152">
              <w:rPr>
                <w:bCs/>
                <w:sz w:val="20"/>
                <w:szCs w:val="20"/>
              </w:rPr>
              <w:t>viličarom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u </w:t>
            </w:r>
            <w:proofErr w:type="spellStart"/>
            <w:r w:rsidRPr="000B1152">
              <w:rPr>
                <w:bCs/>
                <w:sz w:val="20"/>
                <w:szCs w:val="20"/>
              </w:rPr>
              <w:t>skladišnom</w:t>
            </w:r>
            <w:proofErr w:type="spellEnd"/>
            <w:r w:rsidRPr="000B11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B1152">
              <w:rPr>
                <w:bCs/>
                <w:sz w:val="20"/>
                <w:szCs w:val="20"/>
              </w:rPr>
              <w:t>prostoru</w:t>
            </w:r>
            <w:proofErr w:type="spellEnd"/>
            <w:r w:rsidR="0092591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8C516A">
              <w:rPr>
                <w:sz w:val="20"/>
                <w:szCs w:val="20"/>
              </w:rPr>
              <w:t>razina</w:t>
            </w:r>
            <w:proofErr w:type="spellEnd"/>
            <w:r w:rsidR="008C516A">
              <w:rPr>
                <w:sz w:val="20"/>
                <w:szCs w:val="20"/>
              </w:rPr>
              <w:t xml:space="preserve"> 4</w:t>
            </w:r>
            <w:r w:rsidR="00925915">
              <w:rPr>
                <w:sz w:val="20"/>
                <w:szCs w:val="20"/>
              </w:rPr>
              <w:t>)</w:t>
            </w:r>
            <w:r w:rsidRPr="0077737C">
              <w:rPr>
                <w:sz w:val="20"/>
                <w:szCs w:val="20"/>
              </w:rPr>
              <w:t xml:space="preserve"> </w:t>
            </w:r>
          </w:p>
          <w:p w14:paraId="642B57BC" w14:textId="094A9D76" w:rsidR="00C639F8" w:rsidRPr="0077737C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C0" w14:textId="77777777" w:rsidTr="00AE440C">
        <w:trPr>
          <w:trHeight w:val="285"/>
        </w:trPr>
        <w:tc>
          <w:tcPr>
            <w:tcW w:w="1384" w:type="pct"/>
            <w:shd w:val="clear" w:color="auto" w:fill="B8CCE4"/>
            <w:hideMark/>
          </w:tcPr>
          <w:p w14:paraId="642B57BE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642B57BF" w14:textId="4E6778CB" w:rsidR="00C639F8" w:rsidRPr="00FE132B" w:rsidRDefault="00C639F8" w:rsidP="002F4FB0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6 CSVET</w:t>
            </w:r>
          </w:p>
        </w:tc>
      </w:tr>
      <w:tr w:rsidR="00C639F8" w:rsidRPr="00F919E2" w14:paraId="642B57C2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C1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639F8" w:rsidRPr="00F919E2" w14:paraId="642B57C7" w14:textId="77777777" w:rsidTr="002F4FB0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642B57C3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642B57C4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642B57C5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642B57C6" w14:textId="77777777" w:rsidR="00C639F8" w:rsidRPr="00F919E2" w:rsidRDefault="00C639F8" w:rsidP="002F4FB0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639F8" w:rsidRPr="00F919E2" w14:paraId="642B57D0" w14:textId="77777777" w:rsidTr="002F4FB0">
        <w:trPr>
          <w:trHeight w:val="490"/>
        </w:trPr>
        <w:tc>
          <w:tcPr>
            <w:tcW w:w="1384" w:type="pct"/>
            <w:vAlign w:val="center"/>
          </w:tcPr>
          <w:p w14:paraId="642B57C8" w14:textId="3613B80B" w:rsidR="00C639F8" w:rsidRPr="006B7F50" w:rsidRDefault="00C639F8" w:rsidP="0077737C">
            <w:pPr>
              <w:spacing w:before="60" w:after="60" w:line="276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SZ Skladištar u logistici</w:t>
            </w:r>
            <w:r w:rsidR="005723FC"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/Skladištarka u logistici</w:t>
            </w:r>
          </w:p>
          <w:p w14:paraId="5C77C64A" w14:textId="77777777" w:rsidR="00BD7648" w:rsidRDefault="00BD764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642B57C9" w14:textId="766779BF" w:rsidR="00C639F8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87BC6">
              <w:rPr>
                <w:rFonts w:cstheme="minorHAnsi"/>
                <w:noProof/>
                <w:sz w:val="20"/>
                <w:szCs w:val="20"/>
                <w:lang w:val="hr-HR"/>
              </w:rPr>
              <w:t>SKOMP 1: Rukovanje transportnom mehanizacijom u logističkom skladištu</w:t>
            </w:r>
          </w:p>
          <w:p w14:paraId="7AB6966B" w14:textId="25284C2E" w:rsidR="00AC0149" w:rsidRDefault="0093132F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AC0149" w:rsidRPr="0001086B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https://hko.srce.hr/registar/skup-kompetencija/detalji/630</w:t>
              </w:r>
            </w:hyperlink>
          </w:p>
          <w:p w14:paraId="642B57CA" w14:textId="7AE9CB3C" w:rsidR="00C639F8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SKOMP 2: Manipuliranje robom u logističkom skladištu</w:t>
            </w:r>
          </w:p>
          <w:p w14:paraId="7626BFEB" w14:textId="4A4B9748" w:rsidR="00AC0149" w:rsidRDefault="0093132F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AC0149" w:rsidRPr="0001086B">
                <w:rPr>
                  <w:rStyle w:val="Hiperveza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https://hko.srce.hr/registar/skup-kompetencija/detalji/628</w:t>
              </w:r>
            </w:hyperlink>
          </w:p>
          <w:p w14:paraId="642B57CB" w14:textId="77777777" w:rsidR="00C639F8" w:rsidRPr="00E87BC6" w:rsidRDefault="00C639F8" w:rsidP="0077737C">
            <w:pPr>
              <w:spacing w:before="60" w:after="60" w:line="276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SKOMP 3</w:t>
            </w:r>
            <w:r w:rsidRPr="00E87BC6">
              <w:rPr>
                <w:rFonts w:cstheme="minorHAnsi"/>
                <w:noProof/>
                <w:sz w:val="20"/>
                <w:szCs w:val="20"/>
                <w:lang w:val="hr-HR"/>
              </w:rPr>
              <w:t>: Primjena standarda sigurnosti, zaštite na radu i zaštite okoliša u logističkom skladištu</w:t>
            </w:r>
          </w:p>
          <w:p w14:paraId="270E8A6D" w14:textId="2BF305D7" w:rsidR="00131C5E" w:rsidRDefault="0093132F" w:rsidP="0077737C">
            <w:pPr>
              <w:spacing w:before="60" w:after="6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10" w:history="1">
              <w:r w:rsidR="00AC0149" w:rsidRPr="0001086B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https://hko.srce.hr/registar/skup-kompetencija/detalji/634</w:t>
              </w:r>
            </w:hyperlink>
          </w:p>
          <w:p w14:paraId="642B57CC" w14:textId="28718BD7" w:rsidR="00C639F8" w:rsidRPr="00E87BC6" w:rsidRDefault="00C639F8" w:rsidP="0077737C">
            <w:pPr>
              <w:spacing w:before="60" w:after="60" w:line="276" w:lineRule="auto"/>
              <w:rPr>
                <w:rFonts w:ascii="Calibri" w:eastAsia="Calibri" w:hAnsi="Calibri" w:cs="Calibri"/>
                <w:color w:val="7030A0"/>
                <w:sz w:val="20"/>
                <w:szCs w:val="20"/>
                <w:lang w:val="bs-Latn-BA" w:eastAsia="bs-Latn-BA"/>
              </w:rPr>
            </w:pPr>
            <w:r w:rsidRPr="00E87BC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Vrijedi do 31.12.2025.</w:t>
            </w:r>
          </w:p>
        </w:tc>
        <w:tc>
          <w:tcPr>
            <w:tcW w:w="2120" w:type="pct"/>
            <w:gridSpan w:val="2"/>
          </w:tcPr>
          <w:p w14:paraId="642B57CD" w14:textId="6CBB0E44" w:rsidR="00C639F8" w:rsidRPr="006B7F50" w:rsidRDefault="00C639F8" w:rsidP="002F4FB0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 Skladištar u logistici</w:t>
            </w:r>
            <w:r w:rsidR="005723FC" w:rsidRPr="006B7F50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/Skladištarka u logistici</w:t>
            </w:r>
          </w:p>
          <w:p w14:paraId="41764352" w14:textId="77777777" w:rsidR="00682D4D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</w:p>
          <w:p w14:paraId="5F2C56C8" w14:textId="77777777" w:rsidR="00682D4D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</w:p>
          <w:p w14:paraId="35C33A51" w14:textId="10E588E9" w:rsidR="00682D4D" w:rsidRPr="00682D4D" w:rsidRDefault="00682D4D" w:rsidP="00682D4D">
            <w:pPr>
              <w:pStyle w:val="Default"/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</w:pPr>
            <w:r w:rsidRPr="00682D4D">
              <w:rPr>
                <w:rFonts w:ascii="Calibri" w:eastAsia="Calibri" w:hAnsi="Calibri" w:cs="Calibri"/>
                <w:color w:val="auto"/>
                <w:sz w:val="20"/>
                <w:szCs w:val="20"/>
                <w:lang w:val="bs-Latn-BA" w:eastAsia="bs-Latn-BA"/>
              </w:rPr>
              <w:t xml:space="preserve">31.08.2025. </w:t>
            </w:r>
          </w:p>
          <w:p w14:paraId="642B57CE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42B57CF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D6" w14:textId="77777777" w:rsidTr="002F4FB0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642B57D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642B57D2" w14:textId="306E6F5F" w:rsidR="00C639F8" w:rsidRPr="0077737C" w:rsidRDefault="00C639F8" w:rsidP="00F556C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t>Posjedovanje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prethodne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kvalifikacije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na</w:t>
            </w:r>
            <w:proofErr w:type="spellEnd"/>
            <w:r w:rsidRPr="00F556CA">
              <w:rPr>
                <w:sz w:val="20"/>
                <w:szCs w:val="20"/>
              </w:rPr>
              <w:t xml:space="preserve"> </w:t>
            </w:r>
            <w:proofErr w:type="spellStart"/>
            <w:r w:rsidRPr="00F556CA">
              <w:rPr>
                <w:sz w:val="20"/>
                <w:szCs w:val="20"/>
              </w:rPr>
              <w:t>razini</w:t>
            </w:r>
            <w:proofErr w:type="spellEnd"/>
            <w:r w:rsidRPr="00F556CA">
              <w:rPr>
                <w:sz w:val="20"/>
                <w:szCs w:val="20"/>
              </w:rPr>
              <w:t xml:space="preserve"> 1</w:t>
            </w:r>
            <w:r w:rsidR="001A24E8">
              <w:rPr>
                <w:sz w:val="20"/>
                <w:szCs w:val="20"/>
              </w:rPr>
              <w:t xml:space="preserve"> </w:t>
            </w:r>
            <w:r w:rsidRPr="0077737C">
              <w:rPr>
                <w:sz w:val="20"/>
                <w:szCs w:val="20"/>
              </w:rPr>
              <w:t xml:space="preserve">– </w:t>
            </w:r>
            <w:proofErr w:type="spellStart"/>
            <w:r w:rsidRPr="0077737C">
              <w:rPr>
                <w:sz w:val="20"/>
                <w:szCs w:val="20"/>
              </w:rPr>
              <w:t>kvalifikacija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stečena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završetkom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osnovnog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obrazovanja</w:t>
            </w:r>
            <w:proofErr w:type="spellEnd"/>
          </w:p>
          <w:p w14:paraId="642B57D3" w14:textId="77777777" w:rsidR="00C639F8" w:rsidRDefault="00C639F8" w:rsidP="00F556C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t>Najmanje</w:t>
            </w:r>
            <w:proofErr w:type="spellEnd"/>
            <w:r w:rsidRPr="0077737C">
              <w:rPr>
                <w:sz w:val="20"/>
                <w:szCs w:val="20"/>
              </w:rPr>
              <w:t xml:space="preserve"> 18 </w:t>
            </w:r>
            <w:proofErr w:type="spellStart"/>
            <w:r w:rsidRPr="0077737C">
              <w:rPr>
                <w:sz w:val="20"/>
                <w:szCs w:val="20"/>
              </w:rPr>
              <w:t>godina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života</w:t>
            </w:r>
            <w:proofErr w:type="spellEnd"/>
          </w:p>
          <w:p w14:paraId="642B57D5" w14:textId="6DA24E54" w:rsidR="00C639F8" w:rsidRPr="0077737C" w:rsidRDefault="00C639F8" w:rsidP="00F556C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77737C">
              <w:rPr>
                <w:sz w:val="20"/>
                <w:szCs w:val="20"/>
              </w:rPr>
              <w:t>Liječničko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uvjerenje</w:t>
            </w:r>
            <w:proofErr w:type="spellEnd"/>
            <w:r w:rsidRPr="0077737C">
              <w:rPr>
                <w:sz w:val="20"/>
                <w:szCs w:val="20"/>
              </w:rPr>
              <w:t xml:space="preserve"> medicine </w:t>
            </w:r>
            <w:proofErr w:type="spellStart"/>
            <w:r w:rsidRPr="0077737C">
              <w:rPr>
                <w:sz w:val="20"/>
                <w:szCs w:val="20"/>
              </w:rPr>
              <w:t>rada</w:t>
            </w:r>
            <w:proofErr w:type="spellEnd"/>
            <w:r w:rsidRPr="0077737C">
              <w:rPr>
                <w:sz w:val="20"/>
                <w:szCs w:val="20"/>
              </w:rPr>
              <w:t xml:space="preserve"> o </w:t>
            </w:r>
            <w:proofErr w:type="spellStart"/>
            <w:r w:rsidRPr="0077737C">
              <w:rPr>
                <w:sz w:val="20"/>
                <w:szCs w:val="20"/>
              </w:rPr>
              <w:t>zdravstvenoj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sposobnosti</w:t>
            </w:r>
            <w:proofErr w:type="spellEnd"/>
            <w:r w:rsidRPr="0077737C">
              <w:rPr>
                <w:sz w:val="20"/>
                <w:szCs w:val="20"/>
              </w:rPr>
              <w:t xml:space="preserve"> za </w:t>
            </w:r>
            <w:proofErr w:type="spellStart"/>
            <w:r w:rsidRPr="0077737C">
              <w:rPr>
                <w:sz w:val="20"/>
                <w:szCs w:val="20"/>
              </w:rPr>
              <w:t>rukovanje</w:t>
            </w:r>
            <w:proofErr w:type="spellEnd"/>
            <w:r w:rsidRPr="0077737C">
              <w:rPr>
                <w:sz w:val="20"/>
                <w:szCs w:val="20"/>
              </w:rPr>
              <w:t xml:space="preserve"> </w:t>
            </w:r>
            <w:proofErr w:type="spellStart"/>
            <w:r w:rsidRPr="0077737C">
              <w:rPr>
                <w:sz w:val="20"/>
                <w:szCs w:val="20"/>
              </w:rPr>
              <w:t>viličarom</w:t>
            </w:r>
            <w:proofErr w:type="spellEnd"/>
            <w:r w:rsidR="006B7F50">
              <w:rPr>
                <w:sz w:val="20"/>
                <w:szCs w:val="20"/>
              </w:rPr>
              <w:t>.</w:t>
            </w:r>
          </w:p>
        </w:tc>
      </w:tr>
      <w:tr w:rsidR="00C639F8" w:rsidRPr="00F919E2" w14:paraId="642B57E1" w14:textId="77777777" w:rsidTr="002F4FB0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642B57D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42B57D8" w14:textId="77777777" w:rsidR="00C639F8" w:rsidRDefault="00C639F8" w:rsidP="0077737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1B7E7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Stečenih 6 CSVET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bodova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642B57D9" w14:textId="77777777" w:rsidR="00C639F8" w:rsidRDefault="00C639F8" w:rsidP="0077737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Uspješna završna provjera stečenih znanja usmenim i/ili pisanim provjerama te </w:t>
            </w:r>
          </w:p>
          <w:p w14:paraId="642B57DA" w14:textId="77777777" w:rsidR="00C639F8" w:rsidRDefault="00624DDE" w:rsidP="0077737C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provjera vještine</w:t>
            </w:r>
            <w:r w:rsidR="00C639F8"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="00C639F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rukovanja viličarom</w:t>
            </w:r>
            <w:r w:rsidR="00C639F8"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temeljem unaprijed određenih kriterija </w:t>
            </w:r>
          </w:p>
          <w:p w14:paraId="642B57DB" w14:textId="77777777" w:rsidR="00C639F8" w:rsidRDefault="0077737C" w:rsidP="00F556CA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vrednovanja postignuća</w:t>
            </w:r>
          </w:p>
          <w:p w14:paraId="642B57DE" w14:textId="4CC29952" w:rsidR="00C639F8" w:rsidRDefault="00C639F8" w:rsidP="00F556CA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Svakom polazniku nakon uspješno završene završne provjere izdaje se</w:t>
            </w:r>
            <w:r w:rsidR="00F556C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Uvjerenje o osposobljavanju za stjecanje mikrokvalifikacije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rukovatelj viličarom.</w:t>
            </w:r>
          </w:p>
          <w:p w14:paraId="642B57E0" w14:textId="77777777" w:rsidR="00CA4A74" w:rsidRPr="00CA4A74" w:rsidRDefault="00CA4A74" w:rsidP="00F556CA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 završnoj provjeri vodi se zapisnik i provodi ju tročlano povjerenstvo.</w:t>
            </w:r>
          </w:p>
        </w:tc>
      </w:tr>
      <w:tr w:rsidR="00C639F8" w:rsidRPr="00F919E2" w14:paraId="642B57EA" w14:textId="77777777" w:rsidTr="002F4FB0">
        <w:trPr>
          <w:trHeight w:val="732"/>
        </w:trPr>
        <w:tc>
          <w:tcPr>
            <w:tcW w:w="1384" w:type="pct"/>
            <w:shd w:val="clear" w:color="auto" w:fill="B8CCE4"/>
          </w:tcPr>
          <w:p w14:paraId="642B57E2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07B4FEE" w14:textId="11EEABF6" w:rsidR="000536AB" w:rsidRPr="00416A76" w:rsidRDefault="00C639F8" w:rsidP="000536AB">
            <w:pPr>
              <w:pStyle w:val="Standard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val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Program obrazovanja za stjecanje mikrokvalifikacije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rukovatelj viličarom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provodi se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redovitom nastavom u trajanju od </w:t>
            </w:r>
            <w:r w:rsidRPr="00CA4A74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150 sati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,</w:t>
            </w:r>
            <w:r w:rsidR="00416A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="00416A76" w:rsidRPr="000536AB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  <w:lang w:val="bs-Latn-BA"/>
              </w:rPr>
              <w:t xml:space="preserve"> </w:t>
            </w:r>
            <w:r w:rsidR="00416A76" w:rsidRPr="00416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val="bs-Latn-BA"/>
              </w:rPr>
              <w:t>u</w:t>
            </w:r>
            <w:r w:rsidR="000536AB" w:rsidRPr="00416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val="bs-Latn-BA"/>
              </w:rPr>
              <w:t>z mogućnost izvođenja teorijskog dijela programa na daljinu, u realnom vremenu.</w:t>
            </w:r>
          </w:p>
          <w:p w14:paraId="642B57E7" w14:textId="25B64C0F" w:rsidR="00C639F8" w:rsidRPr="00075C08" w:rsidRDefault="00C639F8" w:rsidP="001A24E8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642B57E9" w14:textId="44FFF709" w:rsidR="00C639F8" w:rsidRPr="0077737C" w:rsidRDefault="00C639F8" w:rsidP="001A24E8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Ishodi učenja ostvaruju se dijelom vođenim procesom učenja i poučavanja u trajanju 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od </w:t>
            </w:r>
            <w:r w:rsidRPr="0044689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24 sata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najvećim 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dijelom učenjem temeljenom na radu u trajanju od </w:t>
            </w:r>
            <w:r w:rsidR="006B7F50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117</w:t>
            </w:r>
            <w:r w:rsidRPr="0044689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sati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</w:t>
            </w:r>
            <w:r w:rsidRPr="0044689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dijelom samostalnim aktivnostima polaznika u trajanju od </w:t>
            </w:r>
            <w:r w:rsidR="006B7F50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9</w:t>
            </w:r>
            <w:r w:rsidRPr="0044689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sati</w:t>
            </w:r>
            <w:r w:rsidR="00895C8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</w:t>
            </w:r>
            <w:r w:rsidR="00895C87" w:rsidRPr="00895C8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(proučavanje dodatne literature, iz</w:t>
            </w:r>
            <w:r w:rsidR="00895C8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rada seminarskog rada)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</w:t>
            </w: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Učenje temeljen</w:t>
            </w:r>
            <w:r w:rsidR="00624DDE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 na radu obuhvaća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izvršenje </w:t>
            </w: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konkretnih radn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ih zadaća</w:t>
            </w:r>
            <w:r w:rsidRPr="0069155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  <w:r w:rsidR="00624DDE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C639F8" w:rsidRPr="00F919E2" w14:paraId="642B57ED" w14:textId="77777777" w:rsidTr="002F4FB0">
        <w:trPr>
          <w:trHeight w:val="620"/>
        </w:trPr>
        <w:tc>
          <w:tcPr>
            <w:tcW w:w="1384" w:type="pct"/>
            <w:shd w:val="clear" w:color="auto" w:fill="B8CCE4"/>
          </w:tcPr>
          <w:p w14:paraId="642B57EB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642B57EC" w14:textId="224050A2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639F8" w:rsidRPr="00F919E2" w14:paraId="642B57F0" w14:textId="77777777" w:rsidTr="002F4FB0">
        <w:trPr>
          <w:trHeight w:val="557"/>
        </w:trPr>
        <w:tc>
          <w:tcPr>
            <w:tcW w:w="1384" w:type="pct"/>
            <w:shd w:val="clear" w:color="auto" w:fill="B8CCE4"/>
          </w:tcPr>
          <w:p w14:paraId="642B57E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642B57EF" w14:textId="08E8CD63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639F8" w:rsidRPr="00F919E2" w14:paraId="642B57F9" w14:textId="77777777" w:rsidTr="002F4FB0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642B57F1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642B57F3" w14:textId="77777777" w:rsidR="00C639F8" w:rsidRDefault="00C639F8" w:rsidP="0077737C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Materijalni uvjeti: </w:t>
            </w:r>
          </w:p>
          <w:p w14:paraId="1E81A89C" w14:textId="77777777" w:rsidR="00042950" w:rsidRDefault="00042950" w:rsidP="0077737C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Oprema:</w:t>
            </w:r>
          </w:p>
          <w:p w14:paraId="4F5CD738" w14:textId="77777777" w:rsidR="00042950" w:rsidRPr="001A24E8" w:rsidRDefault="0077737C" w:rsidP="001A24E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teorijska nastava</w:t>
            </w:r>
            <w:r w:rsidR="00042950"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- </w:t>
            </w:r>
            <w:r w:rsidR="00C639F8"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projektor, računalo za nastavnika s pristupom Internetu</w:t>
            </w:r>
          </w:p>
          <w:p w14:paraId="642B57F7" w14:textId="4A9F45EC" w:rsidR="00C639F8" w:rsidRPr="00042950" w:rsidRDefault="00C639F8" w:rsidP="001A24E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praktična nastava</w:t>
            </w:r>
            <w:r w:rsidR="00042950"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- </w:t>
            </w:r>
            <w:r w:rsidRPr="001A24E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</w:t>
            </w:r>
            <w:r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ajmanje</w:t>
            </w:r>
            <w:r w:rsidR="00CA4A74"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1 motorni viličar</w:t>
            </w:r>
            <w:r w:rsidR="0039232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(</w:t>
            </w:r>
            <w:r w:rsidR="00CA4A74"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Ugovor </w:t>
            </w:r>
            <w:r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</w:t>
            </w:r>
            <w:r w:rsidR="00CA4A74"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poslovnoj</w:t>
            </w:r>
            <w:r w:rsidRPr="0004295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suradnji sa tvrtkom koja posjeduje viličare</w:t>
            </w:r>
            <w:r w:rsidR="0039232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  <w:r w:rsidR="00C4264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23DF931C" w14:textId="0FDCAD40" w:rsidR="00392329" w:rsidRDefault="00C639F8" w:rsidP="0077737C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Prostor</w:t>
            </w:r>
            <w:r w:rsidR="0039232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:</w:t>
            </w:r>
          </w:p>
          <w:p w14:paraId="642B57F8" w14:textId="034D616D" w:rsidR="00C639F8" w:rsidRPr="00392329" w:rsidRDefault="00C639F8" w:rsidP="001A24E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39232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robno skladište</w:t>
            </w:r>
            <w:r w:rsidR="00392329" w:rsidRPr="0039232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(</w:t>
            </w:r>
            <w:r w:rsidRPr="0039232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Sporazum o suradnji sa tvrtkom koja posjeduje robno skladište</w:t>
            </w:r>
            <w:r w:rsidR="0039232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  <w:r w:rsidR="00C4264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</w:tc>
      </w:tr>
      <w:tr w:rsidR="00C639F8" w:rsidRPr="00F919E2" w14:paraId="642B57FB" w14:textId="77777777" w:rsidTr="002F4FB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FA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639F8" w:rsidRPr="00F919E2" w14:paraId="642B5802" w14:textId="77777777" w:rsidTr="002F4FB0">
        <w:trPr>
          <w:trHeight w:val="304"/>
        </w:trPr>
        <w:tc>
          <w:tcPr>
            <w:tcW w:w="5000" w:type="pct"/>
            <w:gridSpan w:val="4"/>
          </w:tcPr>
          <w:p w14:paraId="6574AE59" w14:textId="77777777" w:rsidR="00C001F2" w:rsidRPr="0043478C" w:rsidRDefault="005504FB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lastRenderedPageBreak/>
              <w:t xml:space="preserve">Samostalno manipulirati robom, pakirati, ambalažirati i označavati robu sukladno internim procedurama i svojstvima robe </w:t>
            </w:r>
          </w:p>
          <w:p w14:paraId="75F77596" w14:textId="77777777" w:rsidR="00C639F8" w:rsidRPr="0043478C" w:rsidRDefault="005504FB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Znati postupke i redoslijed izvođenja radnji pri manipulaciji robom u skladištu</w:t>
            </w:r>
          </w:p>
          <w:p w14:paraId="6F524105" w14:textId="77777777" w:rsidR="00C001F2" w:rsidRPr="0043478C" w:rsidRDefault="00C001F2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Samostalno odabrati i pravilno koristiti odgovarajuća sredstava i opremu za provedbu radnih aktivnosti na robi u skladištu</w:t>
            </w:r>
          </w:p>
          <w:p w14:paraId="5596E7F4" w14:textId="77777777" w:rsidR="003938B7" w:rsidRPr="0043478C" w:rsidRDefault="003938B7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Odabrati prekrcajnu mehanizaciju sukladno značajkama tereta </w:t>
            </w:r>
          </w:p>
          <w:p w14:paraId="41FF901C" w14:textId="77777777" w:rsidR="00C001F2" w:rsidRPr="0043478C" w:rsidRDefault="003938B7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Samostalno i odgovorno rukovati ručnom mehanizacijom i motornim viličarom pri premještanju robe</w:t>
            </w:r>
          </w:p>
          <w:p w14:paraId="10BED2DC" w14:textId="77777777" w:rsidR="000423BC" w:rsidRPr="0043478C" w:rsidRDefault="00231A92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Obavljati poslove koristeći zaštitnu opremu i uređaje sukladno propisima o sigurnosti i zaštiti na radu</w:t>
            </w:r>
          </w:p>
          <w:p w14:paraId="642B5801" w14:textId="6CA4FE5B" w:rsidR="00231A92" w:rsidRPr="0043478C" w:rsidRDefault="00231A92" w:rsidP="0043478C">
            <w:pPr>
              <w:numPr>
                <w:ilvl w:val="0"/>
                <w:numId w:val="10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3478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Zbrinjavati otpad primjenom uspostavljenih pravila o zbrinjavanju otpada</w:t>
            </w:r>
          </w:p>
        </w:tc>
      </w:tr>
      <w:tr w:rsidR="00C639F8" w:rsidRPr="00F919E2" w14:paraId="642B580B" w14:textId="77777777" w:rsidTr="002F4FB0">
        <w:trPr>
          <w:trHeight w:val="390"/>
        </w:trPr>
        <w:tc>
          <w:tcPr>
            <w:tcW w:w="1384" w:type="pct"/>
            <w:shd w:val="clear" w:color="auto" w:fill="B8CCE4"/>
            <w:hideMark/>
          </w:tcPr>
          <w:p w14:paraId="642B5803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642B5804" w14:textId="77777777" w:rsidR="00C639F8" w:rsidRPr="00E8736A" w:rsidRDefault="00C639F8" w:rsidP="00695A7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 procesu praćenja kvalitete i uspješnost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izvedbe programa obrazovanja </w:t>
            </w: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primjenjuju se sljedeće aktivnosti:</w:t>
            </w:r>
          </w:p>
          <w:p w14:paraId="642B5805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anonimno anketiranje polaznika o izvođenju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nastave, literaturi i resursima za učenje, strategijama podrške polaznicima, izvođenju i unapređenju procesa učenja i</w:t>
            </w:r>
            <w:r w:rsidR="00CA4A7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poučavanja, radnom opterećenju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polaznika (CSVET), provjerama znanja, te komunikaciji s nastavnicima </w:t>
            </w:r>
          </w:p>
          <w:p w14:paraId="642B5806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anketiranje nastavnika o istim pitanjima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navedenim u prethodnoj stavci</w:t>
            </w:r>
          </w:p>
          <w:p w14:paraId="642B5807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uspjeha, transparentnosti i objektivnosti provjera i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ostvarenosti ishoda učenja</w:t>
            </w:r>
          </w:p>
          <w:p w14:paraId="642B5808" w14:textId="77777777" w:rsidR="00C639F8" w:rsidRPr="0077737C" w:rsidRDefault="00C639F8" w:rsidP="00695A75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materijalnih i kadrovskih uvjeta potrebnih za izvođenje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procesa učenja i poučavanja</w:t>
            </w:r>
          </w:p>
          <w:p w14:paraId="642B5809" w14:textId="77777777" w:rsidR="00C639F8" w:rsidRPr="009F7576" w:rsidRDefault="00CA4A74" w:rsidP="00695A7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ezultatima anketa dobiva se pregled uspješnos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ti izvedbe programa, kao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procjena kvalitete nastavničkog rada.</w:t>
            </w:r>
          </w:p>
          <w:p w14:paraId="642B580A" w14:textId="77777777" w:rsidR="00C639F8" w:rsidRPr="00751AEC" w:rsidRDefault="00C639F8" w:rsidP="00CA4A7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Postupci vrednovanja usmjereni su na praćenje i pro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vjeru postignuća prema ishodima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učenja. Ono se provodi usmenim i pisanim provjerama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znanja te provjerama stečenih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vještina polaznika u rukovanju viličarom, a </w:t>
            </w:r>
            <w:r w:rsidR="00CA4A7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 temelju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unaprijed određenih 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kriterija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vrednovanja postignuća.</w:t>
            </w:r>
          </w:p>
        </w:tc>
      </w:tr>
      <w:tr w:rsidR="00C639F8" w:rsidRPr="00F919E2" w14:paraId="642B580E" w14:textId="77777777" w:rsidTr="002F4FB0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642B580C" w14:textId="77777777" w:rsidR="00C639F8" w:rsidRPr="00F919E2" w:rsidRDefault="00C639F8" w:rsidP="002F4FB0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642B580D" w14:textId="3E52065B" w:rsidR="00C639F8" w:rsidRPr="00F919E2" w:rsidRDefault="00C639F8" w:rsidP="002F4FB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42B580F" w14:textId="1C686485" w:rsidR="00AC6512" w:rsidRDefault="00AC6512" w:rsidP="00C639F8">
      <w:pPr>
        <w:rPr>
          <w:rFonts w:cstheme="minorHAnsi"/>
          <w:b/>
          <w:bCs/>
          <w:noProof/>
          <w:sz w:val="24"/>
          <w:szCs w:val="24"/>
        </w:rPr>
      </w:pPr>
    </w:p>
    <w:p w14:paraId="6BE4F497" w14:textId="77777777" w:rsidR="00AC6512" w:rsidRDefault="00AC6512">
      <w:pPr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55C8F3D7" w14:textId="28101152" w:rsidR="0043478C" w:rsidRPr="0043478C" w:rsidRDefault="0043478C" w:rsidP="0043478C">
      <w:pPr>
        <w:pStyle w:val="Odlomakpopisa"/>
        <w:numPr>
          <w:ilvl w:val="0"/>
          <w:numId w:val="12"/>
        </w:numPr>
        <w:spacing w:after="200" w:line="276" w:lineRule="auto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  <w:r w:rsidRPr="0043478C">
        <w:rPr>
          <w:rFonts w:eastAsia="Calibri" w:cstheme="minorHAnsi"/>
          <w:b/>
          <w:bCs/>
          <w:sz w:val="24"/>
          <w:szCs w:val="24"/>
          <w:lang w:val="bs-Latn-BA" w:eastAsia="bs-Latn-BA"/>
        </w:rPr>
        <w:lastRenderedPageBreak/>
        <w:t xml:space="preserve">MODULI I SKUPOVI ISHODA UČENJA 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43478C" w:rsidRPr="00E57A41" w14:paraId="53F00BE3" w14:textId="77777777" w:rsidTr="00F92E4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93F7006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1B965C1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081733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712D86C7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7A9867EA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43D7844D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FB6766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70BA7D5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3D671872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7219CEA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vAlign w:val="bottom"/>
            <w:hideMark/>
          </w:tcPr>
          <w:p w14:paraId="1445C700" w14:textId="35BD619A" w:rsidR="0043478C" w:rsidRPr="00E57A41" w:rsidRDefault="0043478C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Broj sati</w:t>
            </w:r>
          </w:p>
        </w:tc>
      </w:tr>
      <w:tr w:rsidR="0043478C" w:rsidRPr="00E57A41" w14:paraId="4FF7B50D" w14:textId="77777777" w:rsidTr="00BD4F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4E8D8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46657717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D969847" w14:textId="77777777" w:rsidR="0043478C" w:rsidRPr="00E57A41" w:rsidRDefault="0043478C" w:rsidP="00BD4F7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55CBD59" w14:textId="77777777" w:rsidR="0043478C" w:rsidRPr="00E57A41" w:rsidRDefault="0043478C" w:rsidP="00BD4F7C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1D8EC33" w14:textId="77777777" w:rsidR="0043478C" w:rsidRPr="00E57A41" w:rsidRDefault="0043478C" w:rsidP="00BD4F7C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59EA5DCE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0F1D9CA7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7E0F6CF5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30D3FF59" w14:textId="77777777" w:rsidR="0043478C" w:rsidRPr="00E57A41" w:rsidRDefault="0043478C" w:rsidP="00BD4F7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UKUPNO</w:t>
            </w:r>
          </w:p>
        </w:tc>
      </w:tr>
      <w:tr w:rsidR="00F92E42" w:rsidRPr="00E57A41" w14:paraId="0CF61147" w14:textId="77777777" w:rsidTr="00277514">
        <w:trPr>
          <w:trHeight w:val="84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CE984A5" w14:textId="77777777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</w:p>
          <w:p w14:paraId="55928E60" w14:textId="77777777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CA05" w14:textId="2C63BC81" w:rsidR="00F92E42" w:rsidRPr="00E57A41" w:rsidRDefault="00F92E42" w:rsidP="00F92E4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1C271B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Rukovanje viličarom u skladišnom prostoru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F1727" w14:textId="79D31F12" w:rsidR="00F92E42" w:rsidRPr="00E57A41" w:rsidRDefault="00F92E42" w:rsidP="00F92E42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1C271B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Rukovanje viličarom u skladišnom prostoru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81E64" w14:textId="77777777" w:rsidR="00F92E42" w:rsidRPr="00E57A41" w:rsidRDefault="00F92E42" w:rsidP="00F92E42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2B965" w14:textId="3ADF4F9B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F3415" w14:textId="449686C7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DBBAF" w14:textId="4645A45B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5E8F0" w14:textId="56DDE35F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A161A27" w14:textId="5A12123B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F92E42" w:rsidRPr="00E57A41" w14:paraId="5E71E459" w14:textId="77777777" w:rsidTr="00277514">
        <w:trPr>
          <w:trHeight w:val="214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0CDFA" w14:textId="77777777" w:rsidR="00F92E42" w:rsidRPr="00E57A41" w:rsidRDefault="00F92E42" w:rsidP="00F92E42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BAE948" w14:textId="59D0AE59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943391" w14:textId="676ECAAE" w:rsidR="00F92E42" w:rsidRPr="00E57A41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3B25FF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8B154C" w14:textId="7939F7F7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BCD35D" w14:textId="2B021021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54697" w14:textId="4B54324E" w:rsidR="00F92E42" w:rsidRPr="00F92E42" w:rsidRDefault="00F92E42" w:rsidP="00F92E4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F92E42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p w14:paraId="52520DD6" w14:textId="77777777" w:rsidR="0043478C" w:rsidRPr="00E57A41" w:rsidRDefault="0043478C" w:rsidP="0043478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VPUP – vođeni proces učenja i poučavanja     </w:t>
      </w:r>
    </w:p>
    <w:p w14:paraId="30E9ACF9" w14:textId="77777777" w:rsidR="0043478C" w:rsidRPr="00E57A41" w:rsidRDefault="0043478C" w:rsidP="0043478C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UTR – učenje temeljeno na radu </w:t>
      </w:r>
    </w:p>
    <w:p w14:paraId="0F9DAB52" w14:textId="77777777" w:rsidR="0043478C" w:rsidRPr="00E57A41" w:rsidRDefault="0043478C" w:rsidP="0043478C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SAP– samostalne aktivnosti</w:t>
      </w:r>
      <w:r w:rsidRPr="00E57A41">
        <w:rPr>
          <w:rFonts w:ascii="Calibri" w:eastAsia="Calibri" w:hAnsi="Calibri" w:cs="Calibri"/>
          <w:i/>
          <w:iCs/>
          <w:color w:val="FF0000"/>
          <w:sz w:val="16"/>
          <w:szCs w:val="16"/>
          <w:lang w:val="bs-Latn-BA" w:eastAsia="bs-Latn-BA"/>
        </w:rPr>
        <w:t xml:space="preserve"> </w:t>
      </w: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polaznika</w:t>
      </w:r>
    </w:p>
    <w:p w14:paraId="642B5867" w14:textId="77777777" w:rsidR="00D378C4" w:rsidRDefault="00D378C4" w:rsidP="00C639F8">
      <w:pPr>
        <w:jc w:val="both"/>
        <w:rPr>
          <w:rFonts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42B586C" w14:textId="77777777" w:rsidR="00C639F8" w:rsidRPr="00F919E2" w:rsidRDefault="00C639F8" w:rsidP="0043478C">
      <w:pPr>
        <w:pStyle w:val="Odlomakpopisa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99"/>
        <w:gridCol w:w="1852"/>
        <w:gridCol w:w="2552"/>
        <w:gridCol w:w="2552"/>
      </w:tblGrid>
      <w:tr w:rsidR="00C639F8" w:rsidRPr="00F919E2" w14:paraId="642B586F" w14:textId="77777777" w:rsidTr="00EF62FD">
        <w:trPr>
          <w:trHeight w:val="475"/>
        </w:trPr>
        <w:tc>
          <w:tcPr>
            <w:tcW w:w="2537" w:type="dxa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6D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6E" w14:textId="77777777" w:rsidR="00C639F8" w:rsidRPr="00D378C4" w:rsidRDefault="00D378C4" w:rsidP="002F4FB0">
            <w:pPr>
              <w:spacing w:before="60" w:after="60" w:line="240" w:lineRule="auto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D378C4">
              <w:rPr>
                <w:rFonts w:cstheme="minorHAnsi"/>
                <w:b/>
                <w:noProof/>
                <w:color w:val="000000"/>
                <w:sz w:val="20"/>
                <w:szCs w:val="20"/>
                <w:lang w:val="hr-HR"/>
              </w:rPr>
              <w:t>Rukovanje viličarom u skladišnom prostoru</w:t>
            </w:r>
          </w:p>
        </w:tc>
      </w:tr>
      <w:tr w:rsidR="00C639F8" w:rsidRPr="00F919E2" w14:paraId="642B5872" w14:textId="77777777" w:rsidTr="00EF62FD">
        <w:trPr>
          <w:trHeight w:val="470"/>
        </w:trPr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0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1" w14:textId="77777777" w:rsidR="00C639F8" w:rsidRPr="00F919E2" w:rsidRDefault="00C639F8" w:rsidP="002F4FB0">
            <w:pPr>
              <w:spacing w:after="0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875" w14:textId="77777777" w:rsidTr="00EF62FD">
        <w:trPr>
          <w:trHeight w:val="558"/>
        </w:trPr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3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4" w14:textId="77777777" w:rsidR="00C639F8" w:rsidRPr="00D33E1C" w:rsidRDefault="00C639F8" w:rsidP="00695A75">
            <w:pPr>
              <w:spacing w:after="0" w:line="276" w:lineRule="auto"/>
              <w:jc w:val="both"/>
              <w:rPr>
                <w:rFonts w:eastAsia="Calibri" w:cstheme="minorHAnsi"/>
                <w:bCs/>
                <w:i/>
                <w:iCs/>
                <w:sz w:val="16"/>
                <w:szCs w:val="16"/>
                <w:lang w:val="bs-Latn-BA" w:eastAsia="bs-Latn-BA"/>
              </w:rPr>
            </w:pPr>
            <w:r w:rsidRPr="00D33E1C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Najmanje razina 6 HKO-a </w:t>
            </w:r>
            <w:r w:rsidR="00D378C4" w:rsidRPr="00D33E1C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(</w:t>
            </w:r>
            <w:r w:rsidRPr="00D33E1C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preddiplomski sveučilišni studij, preddiplomski stručni studij) odgovarajućeg profila. Specifična znanja povezana sa SIU mogu biti stečena formalnim obrazovanjem, neformalnim i informalnim učenjem. Ishodi učenja mogu se ostvariti neformalnim i informalnim učenjem.</w:t>
            </w:r>
          </w:p>
        </w:tc>
      </w:tr>
      <w:tr w:rsidR="00C639F8" w:rsidRPr="00F919E2" w14:paraId="642B5878" w14:textId="77777777" w:rsidTr="00EF62FD">
        <w:trPr>
          <w:trHeight w:val="558"/>
        </w:trPr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6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77" w14:textId="77777777" w:rsidR="00C639F8" w:rsidRPr="00F919E2" w:rsidRDefault="00C639F8" w:rsidP="002F4FB0">
            <w:pPr>
              <w:spacing w:after="0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6 </w:t>
            </w:r>
            <w:r w:rsidRPr="00D33E1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CSVET</w:t>
            </w:r>
          </w:p>
        </w:tc>
      </w:tr>
      <w:tr w:rsidR="00C639F8" w:rsidRPr="00F919E2" w14:paraId="642B587D" w14:textId="77777777" w:rsidTr="00EF62FD">
        <w:tc>
          <w:tcPr>
            <w:tcW w:w="2537" w:type="dxa"/>
            <w:gridSpan w:val="2"/>
            <w:vMerge w:val="restar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9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A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B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642B587C" w14:textId="77777777" w:rsidR="00C639F8" w:rsidRPr="00F919E2" w:rsidRDefault="00C639F8" w:rsidP="002F4FB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639F8" w:rsidRPr="00F919E2" w14:paraId="642B5882" w14:textId="77777777" w:rsidTr="00EF62FD">
        <w:trPr>
          <w:trHeight w:val="540"/>
        </w:trPr>
        <w:tc>
          <w:tcPr>
            <w:tcW w:w="2537" w:type="dxa"/>
            <w:gridSpan w:val="2"/>
            <w:vMerge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42B587F" w14:textId="77777777" w:rsidR="00C639F8" w:rsidRPr="00FE132B" w:rsidRDefault="00D378C4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24 (</w:t>
            </w:r>
            <w:r w:rsidR="00C639F8" w:rsidRPr="00FE132B">
              <w:rPr>
                <w:rFonts w:cstheme="minorHAnsi"/>
                <w:noProof/>
                <w:sz w:val="20"/>
                <w:szCs w:val="20"/>
                <w:lang w:val="hr-HR"/>
              </w:rPr>
              <w:t>16</w:t>
            </w:r>
            <w:r w:rsidR="00C639F8" w:rsidRPr="00FE132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</w:p>
        </w:tc>
        <w:tc>
          <w:tcPr>
            <w:tcW w:w="2552" w:type="dxa"/>
            <w:vAlign w:val="center"/>
          </w:tcPr>
          <w:p w14:paraId="642B5880" w14:textId="394911B3" w:rsidR="00C639F8" w:rsidRPr="00D33E1C" w:rsidRDefault="00A44E81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D33E1C">
              <w:rPr>
                <w:rFonts w:cstheme="minorHAnsi"/>
                <w:noProof/>
                <w:sz w:val="20"/>
                <w:szCs w:val="20"/>
                <w:lang w:val="hr-HR"/>
              </w:rPr>
              <w:t>117</w:t>
            </w:r>
            <w:r w:rsidR="00D378C4" w:rsidRPr="00D33E1C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536729" w:rsidRPr="00D33E1C">
              <w:rPr>
                <w:rFonts w:cstheme="minorHAnsi"/>
                <w:noProof/>
                <w:sz w:val="20"/>
                <w:szCs w:val="20"/>
                <w:lang w:val="hr-HR"/>
              </w:rPr>
              <w:t>78</w:t>
            </w:r>
            <w:r w:rsidR="00C639F8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  <w:r w:rsidR="00D378C4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</w:p>
        </w:tc>
        <w:tc>
          <w:tcPr>
            <w:tcW w:w="2552" w:type="dxa"/>
            <w:vAlign w:val="center"/>
          </w:tcPr>
          <w:p w14:paraId="642B5881" w14:textId="42F5CC74" w:rsidR="00C639F8" w:rsidRPr="00D33E1C" w:rsidRDefault="00870B32" w:rsidP="002F4FB0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D33E1C">
              <w:rPr>
                <w:rFonts w:cstheme="minorHAnsi"/>
                <w:noProof/>
                <w:sz w:val="20"/>
                <w:szCs w:val="20"/>
                <w:lang w:val="hr-HR"/>
              </w:rPr>
              <w:t>9</w:t>
            </w:r>
            <w:r w:rsidR="00D378C4" w:rsidRPr="00D33E1C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D33E1C">
              <w:rPr>
                <w:rFonts w:cstheme="minorHAnsi"/>
                <w:noProof/>
                <w:sz w:val="20"/>
                <w:szCs w:val="20"/>
                <w:lang w:val="hr-HR"/>
              </w:rPr>
              <w:t>6</w:t>
            </w:r>
            <w:r w:rsidR="00C639F8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%</w:t>
            </w:r>
            <w:r w:rsidR="00D378C4" w:rsidRPr="00D33E1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)</w:t>
            </w:r>
          </w:p>
        </w:tc>
      </w:tr>
      <w:tr w:rsidR="00C639F8" w:rsidRPr="00F919E2" w14:paraId="642B5886" w14:textId="77777777" w:rsidTr="00EF62FD"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3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42B5884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5" w14:textId="77777777" w:rsidR="00C639F8" w:rsidRPr="00F919E2" w:rsidRDefault="00C639F8" w:rsidP="002F4FB0">
            <w:pPr>
              <w:spacing w:after="0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C639F8" w:rsidRPr="00F919E2" w14:paraId="642B5889" w14:textId="77777777" w:rsidTr="00EF62FD">
        <w:trPr>
          <w:trHeight w:val="626"/>
        </w:trPr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28B6F6" w14:textId="11ACCA48" w:rsidR="008A3339" w:rsidRPr="00D33E1C" w:rsidRDefault="00C639F8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A2AB5">
              <w:rPr>
                <w:rFonts w:cstheme="minorHAnsi"/>
                <w:noProof/>
                <w:sz w:val="20"/>
                <w:szCs w:val="20"/>
              </w:rPr>
              <w:t>Cilj modula je polaznicima omogućiti stjecanje</w:t>
            </w:r>
            <w:r w:rsidR="00001809">
              <w:rPr>
                <w:rFonts w:cstheme="minorHAnsi"/>
                <w:noProof/>
                <w:sz w:val="20"/>
                <w:szCs w:val="20"/>
              </w:rPr>
              <w:t xml:space="preserve"> znanja</w:t>
            </w:r>
            <w:r w:rsidR="00844BC3">
              <w:rPr>
                <w:rFonts w:cstheme="minorHAnsi"/>
                <w:noProof/>
                <w:sz w:val="20"/>
                <w:szCs w:val="20"/>
              </w:rPr>
              <w:t xml:space="preserve"> i vještina</w:t>
            </w:r>
            <w:r w:rsidR="0000180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95A75">
              <w:rPr>
                <w:rFonts w:cstheme="minorHAnsi"/>
                <w:noProof/>
                <w:sz w:val="20"/>
                <w:szCs w:val="20"/>
              </w:rPr>
              <w:t xml:space="preserve">potrebnih za </w:t>
            </w:r>
            <w:r w:rsidRPr="00DA2AB5">
              <w:rPr>
                <w:rFonts w:cstheme="minorHAnsi"/>
                <w:noProof/>
                <w:sz w:val="20"/>
                <w:szCs w:val="20"/>
              </w:rPr>
              <w:t xml:space="preserve">rukovanje viličarom u </w:t>
            </w:r>
            <w:r w:rsidR="00B96EAD">
              <w:rPr>
                <w:rFonts w:cstheme="minorHAnsi"/>
                <w:noProof/>
                <w:sz w:val="20"/>
                <w:szCs w:val="20"/>
              </w:rPr>
              <w:t xml:space="preserve">skladišnom </w:t>
            </w:r>
            <w:r w:rsidR="00B96EAD" w:rsidRPr="00D33E1C">
              <w:rPr>
                <w:rFonts w:cstheme="minorHAnsi"/>
                <w:noProof/>
                <w:sz w:val="20"/>
                <w:szCs w:val="20"/>
              </w:rPr>
              <w:t xml:space="preserve">prostoru </w:t>
            </w:r>
            <w:r w:rsidR="00E3218E" w:rsidRPr="00D33E1C">
              <w:rPr>
                <w:rFonts w:cstheme="minorHAnsi"/>
                <w:noProof/>
                <w:sz w:val="20"/>
                <w:szCs w:val="20"/>
              </w:rPr>
              <w:t>primjenom</w:t>
            </w:r>
            <w:r w:rsidR="00FA0042" w:rsidRPr="00D33E1C">
              <w:rPr>
                <w:rFonts w:cstheme="minorHAnsi"/>
                <w:noProof/>
                <w:sz w:val="20"/>
                <w:szCs w:val="20"/>
              </w:rPr>
              <w:t xml:space="preserve"> digitalnih tehnologija </w:t>
            </w:r>
            <w:r w:rsidR="00016D16" w:rsidRPr="00D33E1C">
              <w:rPr>
                <w:rFonts w:cstheme="minorHAnsi"/>
                <w:noProof/>
                <w:sz w:val="20"/>
                <w:szCs w:val="20"/>
              </w:rPr>
              <w:t>na ekološki prihvatljiv način uz korištenje zelenih energija.</w:t>
            </w:r>
          </w:p>
          <w:p w14:paraId="5BD30089" w14:textId="23FECA3F" w:rsidR="008A5876" w:rsidRPr="00D33E1C" w:rsidRDefault="008A5876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3E1C">
              <w:rPr>
                <w:rFonts w:cstheme="minorHAnsi"/>
                <w:noProof/>
                <w:sz w:val="20"/>
                <w:szCs w:val="20"/>
              </w:rPr>
              <w:t>Rukovanje viličarom u skladišnom prostoru temelji se na korištenju digitalnih i zelenih tehnologija: digitalnih u dijelu rukovanja i upravljanja uz korištenje odgovarajućih tehnologija, a zelenih u dijelu korištenja ekološki prihvatljivih načina pogona viličara u skladišnom prostoru.</w:t>
            </w:r>
          </w:p>
          <w:p w14:paraId="642B5888" w14:textId="141ECB09" w:rsidR="00870B32" w:rsidRPr="00D33E1C" w:rsidRDefault="00802C6F" w:rsidP="00D33E1C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B85A18">
              <w:rPr>
                <w:rFonts w:cstheme="minorHAnsi"/>
                <w:noProof/>
                <w:sz w:val="20"/>
                <w:szCs w:val="20"/>
              </w:rPr>
              <w:t xml:space="preserve">Polaznici će biti osposobljeni za </w:t>
            </w:r>
            <w:r w:rsidR="005F6514" w:rsidRPr="00B85A18">
              <w:rPr>
                <w:rFonts w:cstheme="minorHAnsi"/>
                <w:noProof/>
                <w:sz w:val="20"/>
                <w:szCs w:val="20"/>
              </w:rPr>
              <w:t xml:space="preserve">rukovanje viličarom u skladišnom prostoru u dijelu pripreme viličara za rad, </w:t>
            </w:r>
            <w:r w:rsidR="004D3500" w:rsidRPr="00B85A18">
              <w:rPr>
                <w:rFonts w:cstheme="minorHAnsi"/>
                <w:noProof/>
                <w:sz w:val="20"/>
                <w:szCs w:val="20"/>
              </w:rPr>
              <w:t xml:space="preserve">rukovanje viličarom pri zahvatu prenošenju i odlaganju različitih vrsta tereta, </w:t>
            </w:r>
            <w:r w:rsidR="00700100" w:rsidRPr="00B85A18">
              <w:rPr>
                <w:rFonts w:cstheme="minorHAnsi"/>
                <w:noProof/>
                <w:sz w:val="20"/>
                <w:szCs w:val="20"/>
              </w:rPr>
              <w:t xml:space="preserve">provođenje pregleda viličara, utvrđivanje i prijavljivanje </w:t>
            </w:r>
            <w:r w:rsidR="00700100" w:rsidRPr="00B85A18">
              <w:rPr>
                <w:rFonts w:cstheme="minorHAnsi"/>
                <w:noProof/>
                <w:sz w:val="20"/>
                <w:szCs w:val="20"/>
              </w:rPr>
              <w:lastRenderedPageBreak/>
              <w:t>kvarova na viličaru, korište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>nje tehničke dokum</w:t>
            </w:r>
            <w:r w:rsidR="00FE23C7">
              <w:rPr>
                <w:rFonts w:cstheme="minorHAnsi"/>
                <w:noProof/>
                <w:sz w:val="20"/>
                <w:szCs w:val="20"/>
              </w:rPr>
              <w:t>e</w:t>
            </w:r>
            <w:r w:rsidR="004F417A" w:rsidRPr="00B85A18">
              <w:rPr>
                <w:rFonts w:cstheme="minorHAnsi"/>
                <w:noProof/>
                <w:sz w:val="20"/>
                <w:szCs w:val="20"/>
              </w:rPr>
              <w:t xml:space="preserve">ntacije viličara kao i korištenje </w:t>
            </w:r>
            <w:r w:rsidR="001B5C35" w:rsidRPr="00B85A18">
              <w:rPr>
                <w:rFonts w:cstheme="minorHAnsi"/>
                <w:noProof/>
                <w:sz w:val="20"/>
                <w:szCs w:val="20"/>
              </w:rPr>
              <w:t>sredstava osobne zaštite u skladu s pravilima i propisima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 xml:space="preserve"> zaštite na radu u skladištima i </w:t>
            </w:r>
            <w:r w:rsidR="00FE23C7">
              <w:rPr>
                <w:rFonts w:cstheme="minorHAnsi"/>
                <w:noProof/>
                <w:sz w:val="20"/>
                <w:szCs w:val="20"/>
              </w:rPr>
              <w:t xml:space="preserve">pri 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>rukovanj</w:t>
            </w:r>
            <w:r w:rsidR="00FE23C7">
              <w:rPr>
                <w:rFonts w:cstheme="minorHAnsi"/>
                <w:noProof/>
                <w:sz w:val="20"/>
                <w:szCs w:val="20"/>
              </w:rPr>
              <w:t>u</w:t>
            </w:r>
            <w:r w:rsidR="00FA0042" w:rsidRPr="00B85A18">
              <w:rPr>
                <w:rFonts w:cstheme="minorHAnsi"/>
                <w:noProof/>
                <w:sz w:val="20"/>
                <w:szCs w:val="20"/>
              </w:rPr>
              <w:t xml:space="preserve"> viličarom.</w:t>
            </w:r>
          </w:p>
        </w:tc>
      </w:tr>
      <w:tr w:rsidR="00C639F8" w:rsidRPr="00F919E2" w14:paraId="642B588D" w14:textId="77777777" w:rsidTr="00EF62FD"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A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B588C" w14:textId="6BDC5472" w:rsidR="00F57053" w:rsidRPr="00D33E1C" w:rsidRDefault="00D33E1C" w:rsidP="00695A7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v</w:t>
            </w:r>
            <w:r w:rsidR="00C639F8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iličar, prenošenje, odlaganje, dnevno održavanje, kvar, tehnička dokumentacija</w:t>
            </w:r>
            <w:r w:rsidR="00001809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, robno skladište, </w:t>
            </w:r>
            <w:r w:rsidR="003A417B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digitalne tehnologije, zelene energije, </w:t>
            </w:r>
            <w:r w:rsidR="00001809"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propisi iz </w:t>
            </w:r>
            <w:r w:rsidRPr="00D33E1C"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  <w:t>zaštite na radu</w:t>
            </w:r>
          </w:p>
        </w:tc>
      </w:tr>
      <w:tr w:rsidR="00C639F8" w:rsidRPr="00F919E2" w14:paraId="642B5896" w14:textId="77777777" w:rsidTr="00EF62FD"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E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981111" w14:textId="7EA0983A" w:rsidR="004E2953" w:rsidRPr="00D33E1C" w:rsidRDefault="002D19A6" w:rsidP="00D33E1C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Ishodi učenja navedeni u skupu ishoda učenja Rukovanje viličarom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B161DF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u skladišnom prostoru impliciraju </w:t>
            </w:r>
            <w:r w:rsidR="006051B2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stjecanje većim dijelom vještina, a manjim dijelom znanja povezanih s rukovanjem viličarom u skladišnom prostoru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Stoga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je učenje temeljeno na radu integrirano u program obrazovanja uz 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primjenu</w:t>
            </w:r>
            <w:r w:rsidR="004E295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stvarnih  zadataka u poslovnome sektoru.</w:t>
            </w:r>
          </w:p>
          <w:p w14:paraId="11D38143" w14:textId="2A2249F2" w:rsidR="004E2953" w:rsidRPr="00D33E1C" w:rsidRDefault="004E2953" w:rsidP="00D33E1C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Oblik učenja temeljenog na radu u ovome program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jest učenje na rad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om mjestu koje uključuje razdoblja učenja na radnome mjestu kod poslodavca. </w:t>
            </w:r>
          </w:p>
          <w:p w14:paraId="7A1290C6" w14:textId="77777777" w:rsidR="004E2953" w:rsidRPr="00D33E1C" w:rsidRDefault="004E2953" w:rsidP="00FE23C7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 provodi pripremu i dnevni pregled, te dnevno održavanje viličara.</w:t>
            </w:r>
          </w:p>
          <w:p w14:paraId="3548E6EE" w14:textId="79B8A7A6" w:rsidR="004E2953" w:rsidRPr="00D33E1C" w:rsidRDefault="004E2953" w:rsidP="00FE23C7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 rukuje motornim viličarom: samostalno zahvaća, prenosi, odlaže robu u robnom skladištu</w:t>
            </w:r>
            <w:r w:rsidR="005962C1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uz korištenje digitalnih tehnologija</w:t>
            </w:r>
          </w:p>
          <w:p w14:paraId="48CFFA9F" w14:textId="2A9C7C6E" w:rsidR="004E2953" w:rsidRPr="00D33E1C" w:rsidRDefault="004E2953" w:rsidP="00D33E1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se prije rada upoznaje s tehničku dokumentacijom viličara (u programu unutar </w:t>
            </w:r>
            <w:r w:rsidRPr="00D33E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VPUP</w:t>
            </w:r>
            <w:r w:rsidR="00D33E1C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- 6 sati)  i služi se s njom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642B5895" w14:textId="70FD3F1C" w:rsidR="00F57053" w:rsidRPr="00D33E1C" w:rsidRDefault="004E2953" w:rsidP="00D33E1C">
            <w:p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je (u programu unutar </w:t>
            </w:r>
            <w:r w:rsidRPr="00D33E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VPUP</w:t>
            </w:r>
            <w:r w:rsidR="00B85A1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 xml:space="preserve">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- 6 sati)  stekao osnovna znanja i vještine zaštite na radu, zaštite od požara i pružanje prve pomoći, te prilikom rada primjenjuje propise o sigurnosti strojeva 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, </w:t>
            </w:r>
            <w:r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zaštite na radu</w:t>
            </w:r>
            <w:r w:rsidR="009C2A03" w:rsidRPr="00D33E1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korištenju ekološki prihvatljivih oblika energije.</w:t>
            </w:r>
          </w:p>
        </w:tc>
      </w:tr>
      <w:tr w:rsidR="00C639F8" w:rsidRPr="00F919E2" w14:paraId="642B58A9" w14:textId="77777777" w:rsidTr="00EF62FD">
        <w:tc>
          <w:tcPr>
            <w:tcW w:w="2537" w:type="dxa"/>
            <w:gridSpan w:val="2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97" w14:textId="77777777" w:rsidR="00C639F8" w:rsidRPr="00F919E2" w:rsidRDefault="00C639F8" w:rsidP="002F4FB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42B5899" w14:textId="77777777" w:rsidR="00C639F8" w:rsidRPr="00AA146D" w:rsidRDefault="00C639F8" w:rsidP="002F4FB0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Preporučena literatura:</w:t>
            </w:r>
          </w:p>
          <w:p w14:paraId="642B589A" w14:textId="77777777" w:rsidR="00FA3A35" w:rsidRPr="00AA146D" w:rsidRDefault="00FA3A35" w:rsidP="00FA3A3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Kardum, H. (2020): Priručnik za rukovatelja viličarom, HD usluge, d.o.o., Zagreb</w:t>
            </w:r>
          </w:p>
          <w:p w14:paraId="642B589B" w14:textId="79394D02" w:rsidR="003F37D0" w:rsidRPr="00AA146D" w:rsidRDefault="003F37D0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Hinić, I. (2018): Rad na siguran način s viličarom, Završni rad, Veleučilište u Karlovcu, Karlovac</w:t>
            </w:r>
          </w:p>
          <w:p w14:paraId="642B589D" w14:textId="77777777" w:rsidR="00CC6158" w:rsidRPr="00AA146D" w:rsidRDefault="00AA146D" w:rsidP="00695A75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Čevra</w:t>
            </w:r>
            <w:proofErr w:type="spellEnd"/>
            <w:r>
              <w:rPr>
                <w:sz w:val="20"/>
                <w:szCs w:val="20"/>
              </w:rPr>
              <w:t xml:space="preserve">, A. (2003): </w:t>
            </w:r>
            <w:r w:rsidR="00CC6158" w:rsidRPr="00AA146D">
              <w:rPr>
                <w:sz w:val="20"/>
                <w:szCs w:val="20"/>
              </w:rPr>
              <w:t xml:space="preserve">Motori i motorna vozila </w:t>
            </w:r>
            <w:r>
              <w:rPr>
                <w:sz w:val="20"/>
                <w:szCs w:val="20"/>
              </w:rPr>
              <w:t>1, Školska knjiga, Zagreb</w:t>
            </w:r>
          </w:p>
          <w:p w14:paraId="642B589E" w14:textId="77777777" w:rsidR="00CC6158" w:rsidRPr="00AA146D" w:rsidRDefault="00CC6158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Rogić, K.</w:t>
            </w:r>
            <w:r w:rsidR="00AA146D">
              <w:rPr>
                <w:sz w:val="20"/>
                <w:szCs w:val="20"/>
              </w:rPr>
              <w:t xml:space="preserve"> (</w:t>
            </w:r>
            <w:r w:rsidR="00AA146D" w:rsidRPr="00AA146D">
              <w:rPr>
                <w:sz w:val="20"/>
                <w:szCs w:val="20"/>
              </w:rPr>
              <w:t>2011</w:t>
            </w:r>
            <w:r w:rsidR="00AA146D">
              <w:rPr>
                <w:sz w:val="20"/>
                <w:szCs w:val="20"/>
              </w:rPr>
              <w:t xml:space="preserve">): </w:t>
            </w:r>
            <w:r w:rsidRPr="00AA146D">
              <w:rPr>
                <w:sz w:val="20"/>
                <w:szCs w:val="20"/>
              </w:rPr>
              <w:t>Unutrašnji transport i skladištenje – nastavni materijali, Faku</w:t>
            </w:r>
            <w:r w:rsidR="00AA146D">
              <w:rPr>
                <w:sz w:val="20"/>
                <w:szCs w:val="20"/>
              </w:rPr>
              <w:t>ltet prometnih znanosti, Zagreb</w:t>
            </w:r>
          </w:p>
          <w:p w14:paraId="642B58A1" w14:textId="1FA3CA59" w:rsidR="00BA2F32" w:rsidRPr="00AA146D" w:rsidRDefault="00764ED8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 xml:space="preserve">Dundović, </w:t>
            </w:r>
            <w:r w:rsidR="001651FC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., Hess, S. (2007): </w:t>
            </w:r>
            <w:r w:rsidR="00BA2F32" w:rsidRPr="00AA146D">
              <w:rPr>
                <w:sz w:val="20"/>
                <w:szCs w:val="20"/>
              </w:rPr>
              <w:t>Unutarnji transport i skladištenje, Pomorski fakultet u R</w:t>
            </w:r>
            <w:r>
              <w:rPr>
                <w:sz w:val="20"/>
                <w:szCs w:val="20"/>
              </w:rPr>
              <w:t>ijeci, Rijeka</w:t>
            </w:r>
          </w:p>
          <w:p w14:paraId="642B58A2" w14:textId="77777777" w:rsidR="00C548A9" w:rsidRPr="00AA146D" w:rsidRDefault="00764ED8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proofErr w:type="spellStart"/>
            <w:r>
              <w:rPr>
                <w:sz w:val="20"/>
                <w:szCs w:val="20"/>
              </w:rPr>
              <w:t>Golac</w:t>
            </w:r>
            <w:proofErr w:type="spellEnd"/>
            <w:r>
              <w:rPr>
                <w:sz w:val="20"/>
                <w:szCs w:val="20"/>
              </w:rPr>
              <w:t xml:space="preserve">, B. (2007): </w:t>
            </w:r>
            <w:r w:rsidR="00CC6158" w:rsidRPr="00AA146D">
              <w:rPr>
                <w:sz w:val="20"/>
                <w:szCs w:val="20"/>
              </w:rPr>
              <w:t>Organizacija i prijevoz tereta u cestovnom prometu, Škola za cestovni promet, Zagr</w:t>
            </w:r>
            <w:r>
              <w:rPr>
                <w:sz w:val="20"/>
                <w:szCs w:val="20"/>
              </w:rPr>
              <w:t>eb</w:t>
            </w:r>
          </w:p>
          <w:p w14:paraId="642B58A3" w14:textId="77777777" w:rsidR="007F201B" w:rsidRPr="00AA146D" w:rsidRDefault="00764ED8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proofErr w:type="spellStart"/>
            <w:r>
              <w:rPr>
                <w:sz w:val="20"/>
                <w:szCs w:val="20"/>
              </w:rPr>
              <w:t>Bolf</w:t>
            </w:r>
            <w:proofErr w:type="spellEnd"/>
            <w:r>
              <w:rPr>
                <w:sz w:val="20"/>
                <w:szCs w:val="20"/>
              </w:rPr>
              <w:t>, I.</w:t>
            </w:r>
            <w:r w:rsidR="007F201B" w:rsidRPr="00AA146D">
              <w:rPr>
                <w:sz w:val="20"/>
                <w:szCs w:val="20"/>
              </w:rPr>
              <w:t xml:space="preserve"> i dr.</w:t>
            </w:r>
            <w:r>
              <w:rPr>
                <w:sz w:val="20"/>
                <w:szCs w:val="20"/>
              </w:rPr>
              <w:t xml:space="preserve"> (2011): </w:t>
            </w:r>
            <w:r w:rsidR="007F201B" w:rsidRPr="00AA146D">
              <w:rPr>
                <w:sz w:val="20"/>
                <w:szCs w:val="20"/>
              </w:rPr>
              <w:t xml:space="preserve">Zaštita na radu, Andragoško </w:t>
            </w:r>
            <w:r>
              <w:rPr>
                <w:sz w:val="20"/>
                <w:szCs w:val="20"/>
              </w:rPr>
              <w:t>učilište Zvonimir, Zagreb</w:t>
            </w:r>
          </w:p>
          <w:p w14:paraId="642B58A4" w14:textId="1B2A9B0C" w:rsidR="00C548A9" w:rsidRPr="00AA146D" w:rsidRDefault="00764ED8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</w:rPr>
              <w:t xml:space="preserve">Đukić, G. (2014): </w:t>
            </w:r>
            <w:r w:rsidR="00C548A9" w:rsidRPr="00AA146D">
              <w:rPr>
                <w:sz w:val="20"/>
                <w:szCs w:val="20"/>
              </w:rPr>
              <w:t>Tehni</w:t>
            </w:r>
            <w:r w:rsidR="00E76FD2">
              <w:rPr>
                <w:sz w:val="20"/>
                <w:szCs w:val="20"/>
              </w:rPr>
              <w:t>č</w:t>
            </w:r>
            <w:r w:rsidR="00C548A9" w:rsidRPr="00AA146D">
              <w:rPr>
                <w:sz w:val="20"/>
                <w:szCs w:val="20"/>
              </w:rPr>
              <w:t>ka logistika – nastavni materijali, Fakultet strojarst</w:t>
            </w:r>
            <w:r>
              <w:rPr>
                <w:sz w:val="20"/>
                <w:szCs w:val="20"/>
              </w:rPr>
              <w:t>va i brodogradnje, Zagreb</w:t>
            </w:r>
          </w:p>
          <w:p w14:paraId="642B58A5" w14:textId="77777777" w:rsidR="00CC6158" w:rsidRPr="00AA146D" w:rsidRDefault="007F201B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Zaštita na radu</w:t>
            </w:r>
            <w:r w:rsidR="00764ED8">
              <w:rPr>
                <w:sz w:val="20"/>
                <w:szCs w:val="20"/>
              </w:rPr>
              <w:t xml:space="preserve"> (2007): </w:t>
            </w:r>
            <w:r w:rsidRPr="00AA146D">
              <w:rPr>
                <w:sz w:val="20"/>
                <w:szCs w:val="20"/>
              </w:rPr>
              <w:t xml:space="preserve">Priručnik za nastavnike srednjih strukovnih škola, Andragoško </w:t>
            </w:r>
            <w:r w:rsidR="00764ED8">
              <w:rPr>
                <w:sz w:val="20"/>
                <w:szCs w:val="20"/>
              </w:rPr>
              <w:t>učilište Zvonimir, Zagreb</w:t>
            </w:r>
          </w:p>
          <w:p w14:paraId="642B58A6" w14:textId="77777777" w:rsidR="007F201B" w:rsidRPr="00AA146D" w:rsidRDefault="007F201B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Pravilnik o zaštiti na radu za mjesta rada (NN, Br. 29/13.)</w:t>
            </w:r>
          </w:p>
          <w:p w14:paraId="642B58A7" w14:textId="77777777" w:rsidR="007F201B" w:rsidRPr="00AA146D" w:rsidRDefault="007F201B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sz w:val="20"/>
                <w:szCs w:val="20"/>
              </w:rPr>
              <w:t>Pravilnik o uporabi osobnih zaštitnih sredstava (NN, Br. 39/06.)</w:t>
            </w:r>
          </w:p>
          <w:p w14:paraId="642B58A8" w14:textId="77777777" w:rsidR="00C639F8" w:rsidRPr="00764ED8" w:rsidRDefault="007F201B" w:rsidP="00695A75">
            <w:pPr>
              <w:pStyle w:val="Odlomakpopisa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A146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Pravilnik o zaštiti na radu pri utovaru i istovaru tereta </w:t>
            </w:r>
            <w:r w:rsidRPr="00AA146D">
              <w:rPr>
                <w:sz w:val="20"/>
                <w:szCs w:val="20"/>
              </w:rPr>
              <w:t>(NN, Br. 49/86.)</w:t>
            </w:r>
          </w:p>
        </w:tc>
      </w:tr>
      <w:tr w:rsidR="00C639F8" w:rsidRPr="00F919E2" w14:paraId="642B58AD" w14:textId="77777777" w:rsidTr="00EF62FD">
        <w:trPr>
          <w:trHeight w:val="409"/>
        </w:trPr>
        <w:tc>
          <w:tcPr>
            <w:tcW w:w="2537" w:type="dxa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AB" w14:textId="49591887" w:rsidR="00C639F8" w:rsidRPr="00F919E2" w:rsidRDefault="001651FC" w:rsidP="002F4FB0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lastRenderedPageBreak/>
              <w:br w:type="page"/>
            </w:r>
            <w:r w:rsidR="00C639F8"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C639F8" w:rsidRPr="00F919E2">
              <w:rPr>
                <w:rStyle w:val="Referencafusnote"/>
                <w:rFonts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="00C639F8"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42B58AC" w14:textId="77777777" w:rsidR="00C639F8" w:rsidRPr="00BB3AFE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BB3AFE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Rukovanje viličarom u skladišnom prostoru</w:t>
            </w:r>
          </w:p>
        </w:tc>
      </w:tr>
      <w:tr w:rsidR="00C639F8" w:rsidRPr="00F919E2" w14:paraId="642B58AF" w14:textId="77777777" w:rsidTr="00EF62FD">
        <w:tc>
          <w:tcPr>
            <w:tcW w:w="9493" w:type="dxa"/>
            <w:gridSpan w:val="5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AE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639F8" w:rsidRPr="00F919E2" w14:paraId="642B58B1" w14:textId="77777777" w:rsidTr="00EF62FD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642B58B0" w14:textId="2F8C476B" w:rsidR="00C639F8" w:rsidRPr="00E76FD2" w:rsidRDefault="00C639F8" w:rsidP="00E76FD2">
            <w:pPr>
              <w:pStyle w:val="Odlomakpopisa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 xml:space="preserve">Provesti pripremu viličara za rad </w:t>
            </w:r>
          </w:p>
        </w:tc>
      </w:tr>
      <w:tr w:rsidR="00C639F8" w:rsidRPr="00F919E2" w14:paraId="642B58B3" w14:textId="77777777" w:rsidTr="00EF62FD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642B58B2" w14:textId="36D48F3A" w:rsidR="00C639F8" w:rsidRPr="00E76FD2" w:rsidRDefault="00C639F8" w:rsidP="00E76FD2">
            <w:pPr>
              <w:pStyle w:val="Odlomakpopisa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 xml:space="preserve">Rukovati viličarom pri zahvatu, prenošenju i odlaganju robe u skladišnom prostoru </w:t>
            </w:r>
          </w:p>
        </w:tc>
      </w:tr>
      <w:tr w:rsidR="00C639F8" w:rsidRPr="00F919E2" w14:paraId="642B58B5" w14:textId="77777777" w:rsidTr="00EF62FD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642B58B4" w14:textId="4E8ED57B" w:rsidR="00C639F8" w:rsidRPr="00E76FD2" w:rsidRDefault="00C639F8" w:rsidP="00E76FD2">
            <w:pPr>
              <w:pStyle w:val="Odlomakpopisa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 xml:space="preserve">Provesti dnevni pregled, dnevno održavanje i prijavu kvara viličara </w:t>
            </w:r>
          </w:p>
        </w:tc>
      </w:tr>
      <w:tr w:rsidR="00695A75" w:rsidRPr="00F919E2" w14:paraId="642B58B7" w14:textId="77777777" w:rsidTr="00EF62FD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642B58B6" w14:textId="3B156FB6" w:rsidR="00695A75" w:rsidRPr="00E76FD2" w:rsidRDefault="00695A75" w:rsidP="00E76FD2">
            <w:pPr>
              <w:pStyle w:val="Odlomakpopisa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>Koristiti tehničku dokumentaciju viličara</w:t>
            </w:r>
          </w:p>
        </w:tc>
      </w:tr>
      <w:tr w:rsidR="00C639F8" w:rsidRPr="00F919E2" w14:paraId="642B58B9" w14:textId="77777777" w:rsidTr="00EF62FD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642B58B8" w14:textId="51F45247" w:rsidR="00C639F8" w:rsidRPr="00E76FD2" w:rsidRDefault="00C639F8" w:rsidP="00E76FD2">
            <w:pPr>
              <w:pStyle w:val="Odlomakpopisa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E76FD2">
              <w:rPr>
                <w:sz w:val="20"/>
                <w:szCs w:val="20"/>
              </w:rPr>
              <w:t>Primijeniti propise o sigurnost</w:t>
            </w:r>
            <w:r w:rsidR="005B2849" w:rsidRPr="00E76FD2">
              <w:rPr>
                <w:sz w:val="20"/>
                <w:szCs w:val="20"/>
              </w:rPr>
              <w:t>i strojeva i o poslovima s poseb</w:t>
            </w:r>
            <w:r w:rsidRPr="00E76FD2">
              <w:rPr>
                <w:sz w:val="20"/>
                <w:szCs w:val="20"/>
              </w:rPr>
              <w:t>nim uvjetima rada</w:t>
            </w:r>
          </w:p>
        </w:tc>
      </w:tr>
      <w:tr w:rsidR="00C639F8" w:rsidRPr="00F919E2" w14:paraId="642B58BB" w14:textId="77777777" w:rsidTr="00EF62FD">
        <w:trPr>
          <w:trHeight w:val="427"/>
        </w:trPr>
        <w:tc>
          <w:tcPr>
            <w:tcW w:w="9493" w:type="dxa"/>
            <w:gridSpan w:val="5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BA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bookmarkStart w:id="0" w:name="_Hlk92457663"/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0"/>
          </w:p>
        </w:tc>
      </w:tr>
      <w:tr w:rsidR="00C639F8" w:rsidRPr="00F919E2" w14:paraId="642B58C2" w14:textId="77777777" w:rsidTr="00EF62FD">
        <w:trPr>
          <w:trHeight w:val="572"/>
        </w:trPr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30667407" w14:textId="6FF82745" w:rsidR="00DF45F3" w:rsidRDefault="00DF45F3" w:rsidP="00E76FD2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5442E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ominantni nastavni sustav modula</w:t>
            </w:r>
            <w:r w:rsidR="004809D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Rukovanje viličarom u skladišnom prostoru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4809D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je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5442EE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učenje temeljeno na radu</w:t>
            </w:r>
            <w:r w:rsidRPr="005442EE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.</w:t>
            </w:r>
          </w:p>
          <w:p w14:paraId="642B58BE" w14:textId="6FB4544C" w:rsidR="00C639F8" w:rsidRPr="005B2849" w:rsidRDefault="00EF62FD" w:rsidP="00E76FD2">
            <w:pPr>
              <w:spacing w:after="200" w:line="276" w:lineRule="auto"/>
              <w:jc w:val="both"/>
              <w:rPr>
                <w:rFonts w:cstheme="minorHAnsi"/>
                <w:i/>
                <w:iCs/>
                <w:noProof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Prije procesa učenja temeljenog na radu,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vođenim procesom učenja i poučavanja polaznik će steći teorijska znanja 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 viličaru, namjeni</w:t>
            </w:r>
            <w:r w:rsidR="00784E2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viličara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</w:t>
            </w:r>
            <w:r w:rsidR="00C639F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vrstama i konstrukcij</w:t>
            </w:r>
            <w:r w:rsidR="00784E2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i</w:t>
            </w:r>
            <w:r w:rsidR="005B284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dnevnom pregledu i održavanju viličara; tehničkom dokumentacijom viličara; a neizostavno i sa propisima na poslovima s posebnim uvjetima rada, kao i sa propisima o 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korištenju ekološki prihvatljivih oblika energije za pokretanje viličara </w:t>
            </w:r>
            <w:r w:rsidR="0062284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te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propisima povezanim s</w:t>
            </w:r>
            <w:r w:rsidR="00B85A18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a zaštitom na radu</w:t>
            </w:r>
            <w:r w:rsidR="00371CB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.</w:t>
            </w:r>
          </w:p>
          <w:p w14:paraId="642B58BF" w14:textId="3E981107" w:rsidR="00C639F8" w:rsidRDefault="005B2849" w:rsidP="00E76FD2">
            <w:pPr>
              <w:spacing w:after="200" w:line="276" w:lineRule="auto"/>
              <w:jc w:val="both"/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Nakon provedenog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vođenog</w:t>
            </w:r>
            <w:r w:rsidR="00C639F8" w:rsidRPr="00E83C0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proces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a</w:t>
            </w:r>
            <w:r w:rsidR="00C639F8" w:rsidRPr="00E83C0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učenja i poučavanja</w:t>
            </w:r>
            <w:r w:rsidR="004809D5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,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polaznik </w:t>
            </w:r>
            <w:r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će 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dobiti jasne upute za korištenje, rukovanje, održavanje i servisiranje viličara</w:t>
            </w:r>
            <w:r w:rsidR="00B45C2F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te će 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usvojiti načine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kori</w:t>
            </w:r>
            <w:r w:rsidR="00B45C2F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štenj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a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radn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, servisn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i tehničk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 dokumentacij</w:t>
            </w:r>
            <w:r w:rsidR="005321DE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e</w:t>
            </w:r>
            <w:r w:rsidR="00C639F8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 xml:space="preserve">. </w:t>
            </w:r>
          </w:p>
          <w:p w14:paraId="642B58C0" w14:textId="1E3AEAB1" w:rsidR="005442EE" w:rsidRDefault="004809D5" w:rsidP="00E76FD2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U</w:t>
            </w:r>
            <w:r w:rsidR="005442EE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čenje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temeljenom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</w:t>
            </w:r>
            <w:proofErr w:type="spellEnd"/>
            <w:r w:rsidR="00EF62F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radu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kod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poslodavc</w:t>
            </w:r>
            <w:r w:rsidR="00EF62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</w:t>
            </w:r>
            <w:proofErr w:type="spellEnd"/>
            <w:r w:rsidR="00EF62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,</w:t>
            </w:r>
            <w:r w:rsidR="00AF463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na</w:t>
            </w:r>
            <w:proofErr w:type="spellEnd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rad</w:t>
            </w:r>
            <w:r w:rsidR="00EF62FD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n</w:t>
            </w:r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om</w:t>
            </w:r>
            <w:proofErr w:type="spellEnd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EF62FD" w:rsidRPr="005442EE">
              <w:rPr>
                <w:rFonts w:ascii="Calibri" w:eastAsia="Calibri" w:hAnsi="Calibri" w:cs="Calibri"/>
                <w:b/>
                <w:sz w:val="20"/>
                <w:szCs w:val="20"/>
                <w:lang w:eastAsia="bs-Latn-BA"/>
              </w:rPr>
              <w:t>mjestu</w:t>
            </w:r>
            <w:proofErr w:type="spellEnd"/>
            <w:r w:rsidR="00EF62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se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postupno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uvodi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svijet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rada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mu se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omogućuje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sudjelovanje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radnome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procesu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kontroliranim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uvjetima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sve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dok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ne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stekne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potpune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kompetencije</w:t>
            </w:r>
            <w:proofErr w:type="spellEnd"/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="0062284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samostalan</w:t>
            </w:r>
            <w:proofErr w:type="spellEnd"/>
            <w:r w:rsidR="0062284B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rad</w:t>
            </w:r>
            <w:r w:rsidR="005442EE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  <w:p w14:paraId="642B58C1" w14:textId="7EEF2CF5" w:rsidR="00C639F8" w:rsidRPr="005442EE" w:rsidRDefault="00C639F8" w:rsidP="00695A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</w:p>
        </w:tc>
      </w:tr>
      <w:tr w:rsidR="00C639F8" w:rsidRPr="00F919E2" w14:paraId="642B58CC" w14:textId="77777777" w:rsidTr="00EF62FD">
        <w:tc>
          <w:tcPr>
            <w:tcW w:w="1838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3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B58C5" w14:textId="77777777" w:rsidR="00C639F8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</w:p>
          <w:p w14:paraId="6D0CDB96" w14:textId="3B5B77D2" w:rsidR="00C95F2D" w:rsidRPr="00B4329C" w:rsidRDefault="00E16449" w:rsidP="00B4329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Digitalne tehnologije za rukovanje viličarom</w:t>
            </w:r>
          </w:p>
          <w:p w14:paraId="3F10802A" w14:textId="04BF5428" w:rsidR="005A5F3F" w:rsidRPr="00B4329C" w:rsidRDefault="005A5F3F" w:rsidP="00B4329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Ekologija u logističkom skladištu</w:t>
            </w:r>
          </w:p>
          <w:p w14:paraId="642B58C6" w14:textId="389CA904" w:rsidR="00C639F8" w:rsidRPr="00B4329C" w:rsidRDefault="00C639F8" w:rsidP="00B4329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Priprema viličara za rad</w:t>
            </w:r>
          </w:p>
          <w:p w14:paraId="642B58C7" w14:textId="05A6DB08" w:rsidR="00C639F8" w:rsidRPr="00B4329C" w:rsidRDefault="00C639F8" w:rsidP="00B4329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Rukovanje viličarom</w:t>
            </w:r>
            <w:r w:rsidR="00CE3E4A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u skladišnom prostoru</w:t>
            </w:r>
          </w:p>
          <w:p w14:paraId="642B58C8" w14:textId="77777777" w:rsidR="00C639F8" w:rsidRPr="00B4329C" w:rsidRDefault="00C639F8" w:rsidP="00B4329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Održavanje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servisiranje viličara</w:t>
            </w:r>
          </w:p>
          <w:p w14:paraId="4C9D3E59" w14:textId="39BDA479" w:rsidR="004B0033" w:rsidRPr="00B4329C" w:rsidRDefault="00C639F8" w:rsidP="00B4329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Radna, servisna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tehnička dokumentacija viličara</w:t>
            </w:r>
          </w:p>
          <w:p w14:paraId="642B58CA" w14:textId="77777777" w:rsidR="00C639F8" w:rsidRPr="00B4329C" w:rsidRDefault="00C639F8" w:rsidP="00B4329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Izvori opasnosti </w:t>
            </w:r>
            <w:r w:rsidR="005442EE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mjere zaštite na radu</w:t>
            </w:r>
            <w:r w:rsidR="002F7151"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B4329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kod rukovanja viličarom </w:t>
            </w:r>
          </w:p>
          <w:p w14:paraId="642B58CB" w14:textId="77777777" w:rsidR="002F7151" w:rsidRPr="00A018C1" w:rsidRDefault="002F7151" w:rsidP="002F7151">
            <w:pPr>
              <w:pStyle w:val="Odlomakpopisa"/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noProof/>
                <w:sz w:val="20"/>
                <w:szCs w:val="20"/>
              </w:rPr>
            </w:pPr>
          </w:p>
        </w:tc>
      </w:tr>
      <w:tr w:rsidR="00C639F8" w:rsidRPr="00F919E2" w14:paraId="642B58CE" w14:textId="77777777" w:rsidTr="00EF62FD">
        <w:trPr>
          <w:trHeight w:val="486"/>
        </w:trPr>
        <w:tc>
          <w:tcPr>
            <w:tcW w:w="9493" w:type="dxa"/>
            <w:gridSpan w:val="5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D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639F8" w:rsidRPr="00F919E2" w14:paraId="642B58D5" w14:textId="77777777" w:rsidTr="00EF62FD">
        <w:trPr>
          <w:trHeight w:val="572"/>
        </w:trPr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642B58D1" w14:textId="4FB9D5EA" w:rsidR="00C639F8" w:rsidRPr="00343147" w:rsidRDefault="00C639F8" w:rsidP="00695A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343147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Opis radne situacije</w:t>
            </w:r>
            <w:r w:rsidR="00B4329C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 xml:space="preserve">: </w:t>
            </w:r>
            <w:r w:rsidR="00440FFE" w:rsidRP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Koristiti ćemo stvarnu radnu situaciju</w:t>
            </w:r>
            <w:r w:rsidR="00B4329C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- </w:t>
            </w:r>
            <w:r w:rsidR="00440FFE"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Prema preuzetoj otpremnici potrebno je uskladištenu robu prenijeti viličarom na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teretno vozilo</w:t>
            </w:r>
            <w:r w:rsidR="00721EC5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.</w:t>
            </w:r>
          </w:p>
          <w:p w14:paraId="642B58D2" w14:textId="51603423" w:rsidR="00C639F8" w:rsidRPr="00397AC9" w:rsidRDefault="00C639F8" w:rsidP="00B85A18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397AC9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Zadatak: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Vozilo u koje će se natovariti uskladištena roba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nalazi 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se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na utovarnoj rampi. 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P</w:t>
            </w:r>
            <w:r w:rsidR="00440FFE"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otrebno je uskladištenu robu prenijeti viličarom na</w:t>
            </w:r>
            <w:r w:rsidR="00440FFE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teretno vozilo.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Pri tome je potrebno pripremiti viličar za rad, identificirati robu, provjeriti stanje i količinu robe, pravilno zahvatiti transportnu jedinicu, prenijeti sigurnom putanjom do utovarne rampe, smjestiti na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lastRenderedPageBreak/>
              <w:t>odgovarajuće mjesto u teretnom prostoru vozila i dokumentirati provedenu aktivnost.</w:t>
            </w:r>
            <w:r w:rsidR="00B4329C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U provedbi aktivnosti potrebno je koristiti odgovarajuća zaštitna sredstva i demonstrirati pružanje prve pomoći pri nagnječenju ekstremiteta.</w:t>
            </w:r>
          </w:p>
          <w:p w14:paraId="642B58D3" w14:textId="77777777" w:rsidR="00C639F8" w:rsidRDefault="00C639F8" w:rsidP="00B85A1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397AC9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Vrednovanje: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Pomoću unaprijed definiranih kriterija za elemente vrednovanja (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kod poslova pripremanja viličara za rad, rukovanja viličarom u različitim uvjetima rada u skladišnim prostorima, nadzor nad radom viličara, postupke održavanja viličara, primjenu mjera zaštite na radu te pružanje osnovne prve pomoći ozlijeđenima</w:t>
            </w:r>
            <w:r w:rsidRPr="00397AC9">
              <w:rPr>
                <w:sz w:val="20"/>
                <w:szCs w:val="20"/>
              </w:rPr>
              <w:t>)</w:t>
            </w:r>
            <w:r w:rsidRPr="00397AC9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vrednuje se uradak polaznika. </w:t>
            </w:r>
          </w:p>
          <w:p w14:paraId="642B58D4" w14:textId="77777777" w:rsidR="00C639F8" w:rsidRPr="00343147" w:rsidRDefault="00C639F8" w:rsidP="00B85A18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Osim vrednovanja praktičnog uratka polaznika, vrednuje se i pisana/usmena provjera stručnih sadržaja prema planiranim ishodima učenja.</w:t>
            </w:r>
          </w:p>
        </w:tc>
      </w:tr>
      <w:tr w:rsidR="00C639F8" w:rsidRPr="00F919E2" w14:paraId="642B58D7" w14:textId="77777777" w:rsidTr="00EF62FD">
        <w:tc>
          <w:tcPr>
            <w:tcW w:w="9493" w:type="dxa"/>
            <w:gridSpan w:val="5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D6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639F8" w:rsidRPr="00F919E2" w14:paraId="642B58DA" w14:textId="77777777" w:rsidTr="00EF62FD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642B58D8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42B58D9" w14:textId="77777777" w:rsidR="00C639F8" w:rsidRPr="00F919E2" w:rsidRDefault="00C639F8" w:rsidP="002F4FB0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42B58DB" w14:textId="77777777" w:rsidR="00C639F8" w:rsidRPr="00F919E2" w:rsidRDefault="00C639F8" w:rsidP="00C639F8">
      <w:pPr>
        <w:rPr>
          <w:rFonts w:cstheme="minorHAnsi"/>
          <w:noProof/>
          <w:lang w:val="hr-HR"/>
        </w:rPr>
      </w:pPr>
    </w:p>
    <w:p w14:paraId="26A9A76A" w14:textId="77777777" w:rsidR="0062284B" w:rsidRDefault="0062284B" w:rsidP="0062284B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62284B" w:rsidRPr="00BD56ED" w14:paraId="1EFC8F92" w14:textId="77777777" w:rsidTr="00BD4F7C">
        <w:tc>
          <w:tcPr>
            <w:tcW w:w="9485" w:type="dxa"/>
            <w:shd w:val="clear" w:color="auto" w:fill="auto"/>
            <w:vAlign w:val="center"/>
          </w:tcPr>
          <w:p w14:paraId="55884CBF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*</w:t>
            </w:r>
            <w:proofErr w:type="spellStart"/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Napomena</w:t>
            </w:r>
            <w:proofErr w:type="spellEnd"/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:</w:t>
            </w:r>
          </w:p>
          <w:p w14:paraId="68F520EA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Riječi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pojmovni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sklopovi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koji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imaju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rodno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značenje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korišteni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ovom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dokumentu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uključujući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nazive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kvalifikacija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zvanja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zanimanja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)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odnose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se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jednako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oba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roda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muški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ženski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)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oba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broja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jedninu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množinu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), bez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obzira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to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jesu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li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korišteni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muškom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ili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ženskom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rodu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odnosno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jednini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ili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/>
                <w:sz w:val="20"/>
                <w:szCs w:val="20"/>
              </w:rPr>
              <w:t>množini</w:t>
            </w:r>
            <w:proofErr w:type="spellEnd"/>
            <w:r w:rsidRPr="00BD56E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</w:tbl>
    <w:p w14:paraId="5A1C905B" w14:textId="14F5E70C" w:rsidR="0062284B" w:rsidRPr="00BD56ED" w:rsidRDefault="0062284B" w:rsidP="0062284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proofErr w:type="spellStart"/>
      <w:r w:rsidRPr="00BD56ED">
        <w:rPr>
          <w:b/>
          <w:bCs/>
          <w:sz w:val="20"/>
          <w:szCs w:val="20"/>
        </w:rPr>
        <w:t>Broj</w:t>
      </w:r>
      <w:proofErr w:type="spellEnd"/>
      <w:r w:rsidRPr="00BD56ED">
        <w:rPr>
          <w:b/>
          <w:bCs/>
          <w:sz w:val="20"/>
          <w:szCs w:val="20"/>
        </w:rPr>
        <w:t xml:space="preserve"> i datum </w:t>
      </w:r>
      <w:proofErr w:type="spellStart"/>
      <w:r w:rsidRPr="00BD56ED">
        <w:rPr>
          <w:b/>
          <w:bCs/>
          <w:sz w:val="20"/>
          <w:szCs w:val="20"/>
        </w:rPr>
        <w:t>mišljenja</w:t>
      </w:r>
      <w:proofErr w:type="spellEnd"/>
      <w:r w:rsidRPr="00BD56ED">
        <w:rPr>
          <w:b/>
          <w:bCs/>
          <w:sz w:val="20"/>
          <w:szCs w:val="20"/>
        </w:rPr>
        <w:t xml:space="preserve"> </w:t>
      </w:r>
      <w:proofErr w:type="spellStart"/>
      <w:r w:rsidRPr="00BD56ED">
        <w:rPr>
          <w:b/>
          <w:bCs/>
          <w:sz w:val="20"/>
          <w:szCs w:val="20"/>
        </w:rPr>
        <w:t>na</w:t>
      </w:r>
      <w:proofErr w:type="spellEnd"/>
      <w:r w:rsidRPr="00BD56ED">
        <w:rPr>
          <w:b/>
          <w:bCs/>
          <w:sz w:val="20"/>
          <w:szCs w:val="20"/>
        </w:rPr>
        <w:t xml:space="preserve"> program (</w:t>
      </w:r>
      <w:proofErr w:type="spellStart"/>
      <w:r w:rsidRPr="00BD56ED">
        <w:rPr>
          <w:b/>
          <w:bCs/>
          <w:sz w:val="20"/>
          <w:szCs w:val="20"/>
        </w:rPr>
        <w:t>popunjava</w:t>
      </w:r>
      <w:proofErr w:type="spellEnd"/>
      <w:r w:rsidRPr="00BD56ED">
        <w:rPr>
          <w:b/>
          <w:bCs/>
          <w:sz w:val="20"/>
          <w:szCs w:val="20"/>
        </w:rPr>
        <w:t xml:space="preserve"> </w:t>
      </w:r>
      <w:proofErr w:type="spellStart"/>
      <w:r w:rsidRPr="00BD56ED">
        <w:rPr>
          <w:b/>
          <w:bCs/>
          <w:sz w:val="20"/>
          <w:szCs w:val="20"/>
        </w:rPr>
        <w:t>Agencija</w:t>
      </w:r>
      <w:proofErr w:type="spellEnd"/>
      <w:r w:rsidRPr="00BD56ED">
        <w:rPr>
          <w:b/>
          <w:bCs/>
          <w:sz w:val="20"/>
          <w:szCs w:val="20"/>
        </w:rPr>
        <w:t>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62284B" w:rsidRPr="00BD56ED" w14:paraId="4993F91B" w14:textId="77777777" w:rsidTr="00BD4F7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4DAD55E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2A38369D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284B" w:rsidRPr="00BD56ED" w14:paraId="79DC165C" w14:textId="77777777" w:rsidTr="00BD4F7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4CC85301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C25312B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284B" w:rsidRPr="00BD56ED" w14:paraId="7F84DFF7" w14:textId="77777777" w:rsidTr="00BD4F7C">
        <w:tc>
          <w:tcPr>
            <w:tcW w:w="4630" w:type="dxa"/>
            <w:hideMark/>
          </w:tcPr>
          <w:p w14:paraId="0B52BC2A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 xml:space="preserve">Datum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izdavanja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mišljenja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BD56ED">
              <w:rPr>
                <w:rFonts w:cstheme="minorHAnsi"/>
                <w:iCs/>
                <w:sz w:val="20"/>
                <w:szCs w:val="20"/>
              </w:rPr>
              <w:t>na</w:t>
            </w:r>
            <w:proofErr w:type="spellEnd"/>
            <w:r w:rsidRPr="00BD56ED">
              <w:rPr>
                <w:rFonts w:cstheme="minorHAnsi"/>
                <w:iCs/>
                <w:sz w:val="20"/>
                <w:szCs w:val="20"/>
              </w:rPr>
              <w:t xml:space="preserve"> program:</w:t>
            </w:r>
          </w:p>
        </w:tc>
        <w:tc>
          <w:tcPr>
            <w:tcW w:w="4886" w:type="dxa"/>
          </w:tcPr>
          <w:p w14:paraId="00094ABD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791067D" w14:textId="77777777" w:rsidR="0062284B" w:rsidRPr="00620833" w:rsidRDefault="0062284B" w:rsidP="0062284B">
      <w:pPr>
        <w:rPr>
          <w:color w:val="FF0000"/>
        </w:rPr>
      </w:pPr>
    </w:p>
    <w:p w14:paraId="642B58DC" w14:textId="77777777" w:rsidR="00C639F8" w:rsidRPr="00F919E2" w:rsidRDefault="00C639F8" w:rsidP="00C639F8">
      <w:pPr>
        <w:jc w:val="both"/>
        <w:rPr>
          <w:rFonts w:cstheme="minorHAnsi"/>
          <w:noProof/>
          <w:sz w:val="24"/>
          <w:szCs w:val="24"/>
          <w:lang w:val="hr-HR"/>
        </w:rPr>
      </w:pPr>
    </w:p>
    <w:p w14:paraId="642B58DD" w14:textId="77777777" w:rsidR="00EB1BE4" w:rsidRDefault="00EB1BE4"/>
    <w:sectPr w:rsidR="00EB1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79F" w14:textId="77777777" w:rsidR="0093132F" w:rsidRDefault="0093132F" w:rsidP="00C639F8">
      <w:pPr>
        <w:spacing w:after="0" w:line="240" w:lineRule="auto"/>
      </w:pPr>
      <w:r>
        <w:separator/>
      </w:r>
    </w:p>
  </w:endnote>
  <w:endnote w:type="continuationSeparator" w:id="0">
    <w:p w14:paraId="4A3EE284" w14:textId="77777777" w:rsidR="0093132F" w:rsidRDefault="0093132F" w:rsidP="00C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733F" w14:textId="77777777" w:rsidR="0093132F" w:rsidRDefault="0093132F" w:rsidP="00C639F8">
      <w:pPr>
        <w:spacing w:after="0" w:line="240" w:lineRule="auto"/>
      </w:pPr>
      <w:r>
        <w:separator/>
      </w:r>
    </w:p>
  </w:footnote>
  <w:footnote w:type="continuationSeparator" w:id="0">
    <w:p w14:paraId="3D6146F0" w14:textId="77777777" w:rsidR="0093132F" w:rsidRDefault="0093132F" w:rsidP="00C639F8">
      <w:pPr>
        <w:spacing w:after="0" w:line="240" w:lineRule="auto"/>
      </w:pPr>
      <w:r>
        <w:continuationSeparator/>
      </w:r>
    </w:p>
  </w:footnote>
  <w:footnote w:id="1">
    <w:p w14:paraId="642B58E2" w14:textId="77777777" w:rsidR="00C639F8" w:rsidRPr="005839F8" w:rsidRDefault="00C639F8" w:rsidP="00C639F8">
      <w:pPr>
        <w:rPr>
          <w:rFonts w:cstheme="minorHAnsi"/>
          <w:i/>
          <w:iCs/>
          <w:sz w:val="20"/>
          <w:szCs w:val="20"/>
        </w:rPr>
      </w:pPr>
      <w:r w:rsidRPr="005839F8">
        <w:rPr>
          <w:rStyle w:val="Referencafusnote"/>
          <w:rFonts w:cstheme="minorHAnsi"/>
        </w:rPr>
        <w:footnoteRef/>
      </w:r>
      <w:r w:rsidRPr="005839F8">
        <w:rPr>
          <w:rFonts w:cstheme="minorHAnsi"/>
          <w:sz w:val="20"/>
          <w:szCs w:val="20"/>
        </w:rPr>
        <w:t>Popunjava se onoliko puta koliko je skupova ishoda učenja u modulu</w:t>
      </w:r>
      <w:r w:rsidRPr="005839F8">
        <w:rPr>
          <w:rFonts w:cstheme="minorHAnsi"/>
          <w:i/>
          <w:iCs/>
          <w:sz w:val="20"/>
          <w:szCs w:val="20"/>
        </w:rPr>
        <w:t>.</w:t>
      </w:r>
    </w:p>
    <w:p w14:paraId="642B58E3" w14:textId="77777777" w:rsidR="00C639F8" w:rsidRDefault="00C639F8" w:rsidP="00C639F8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AF1"/>
    <w:multiLevelType w:val="hybridMultilevel"/>
    <w:tmpl w:val="4AAAD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5516C"/>
    <w:multiLevelType w:val="hybridMultilevel"/>
    <w:tmpl w:val="97B6A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4567F"/>
    <w:multiLevelType w:val="hybridMultilevel"/>
    <w:tmpl w:val="10806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5F5F"/>
    <w:multiLevelType w:val="hybridMultilevel"/>
    <w:tmpl w:val="084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2C24"/>
    <w:multiLevelType w:val="hybridMultilevel"/>
    <w:tmpl w:val="1610D51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13515"/>
    <w:multiLevelType w:val="hybridMultilevel"/>
    <w:tmpl w:val="2E4EE3BE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70512"/>
    <w:multiLevelType w:val="hybridMultilevel"/>
    <w:tmpl w:val="72DA8558"/>
    <w:lvl w:ilvl="0" w:tplc="A6D4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45F92"/>
    <w:multiLevelType w:val="hybridMultilevel"/>
    <w:tmpl w:val="51E2C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20485"/>
    <w:multiLevelType w:val="hybridMultilevel"/>
    <w:tmpl w:val="09347B22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D5C07"/>
    <w:multiLevelType w:val="hybridMultilevel"/>
    <w:tmpl w:val="83E0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183853">
    <w:abstractNumId w:val="1"/>
  </w:num>
  <w:num w:numId="2" w16cid:durableId="897936858">
    <w:abstractNumId w:val="13"/>
  </w:num>
  <w:num w:numId="3" w16cid:durableId="2079664989">
    <w:abstractNumId w:val="3"/>
  </w:num>
  <w:num w:numId="4" w16cid:durableId="309361927">
    <w:abstractNumId w:val="2"/>
  </w:num>
  <w:num w:numId="5" w16cid:durableId="1967813086">
    <w:abstractNumId w:val="10"/>
  </w:num>
  <w:num w:numId="6" w16cid:durableId="1570767771">
    <w:abstractNumId w:val="8"/>
  </w:num>
  <w:num w:numId="7" w16cid:durableId="668487307">
    <w:abstractNumId w:val="7"/>
  </w:num>
  <w:num w:numId="8" w16cid:durableId="2091152928">
    <w:abstractNumId w:val="11"/>
  </w:num>
  <w:num w:numId="9" w16cid:durableId="449133191">
    <w:abstractNumId w:val="9"/>
  </w:num>
  <w:num w:numId="10" w16cid:durableId="1445228897">
    <w:abstractNumId w:val="0"/>
  </w:num>
  <w:num w:numId="11" w16cid:durableId="1929147639">
    <w:abstractNumId w:val="12"/>
  </w:num>
  <w:num w:numId="12" w16cid:durableId="197084281">
    <w:abstractNumId w:val="6"/>
  </w:num>
  <w:num w:numId="13" w16cid:durableId="1898006348">
    <w:abstractNumId w:val="5"/>
  </w:num>
  <w:num w:numId="14" w16cid:durableId="1814831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8"/>
    <w:rsid w:val="00001809"/>
    <w:rsid w:val="00004F27"/>
    <w:rsid w:val="00016D16"/>
    <w:rsid w:val="000423BC"/>
    <w:rsid w:val="00042950"/>
    <w:rsid w:val="000536AB"/>
    <w:rsid w:val="00073A41"/>
    <w:rsid w:val="000A0F7F"/>
    <w:rsid w:val="000B1152"/>
    <w:rsid w:val="000C2175"/>
    <w:rsid w:val="000C2EFA"/>
    <w:rsid w:val="000E7DF7"/>
    <w:rsid w:val="001053D2"/>
    <w:rsid w:val="001203AB"/>
    <w:rsid w:val="001210EC"/>
    <w:rsid w:val="00131343"/>
    <w:rsid w:val="00131C5E"/>
    <w:rsid w:val="0013536A"/>
    <w:rsid w:val="00145F02"/>
    <w:rsid w:val="001651FC"/>
    <w:rsid w:val="0017425E"/>
    <w:rsid w:val="001A24E8"/>
    <w:rsid w:val="001B5C35"/>
    <w:rsid w:val="001C271B"/>
    <w:rsid w:val="001F74C4"/>
    <w:rsid w:val="002245D2"/>
    <w:rsid w:val="00231A92"/>
    <w:rsid w:val="00277514"/>
    <w:rsid w:val="002876D4"/>
    <w:rsid w:val="002C20DC"/>
    <w:rsid w:val="002C276E"/>
    <w:rsid w:val="002D19A6"/>
    <w:rsid w:val="002D69A0"/>
    <w:rsid w:val="002F7151"/>
    <w:rsid w:val="00301834"/>
    <w:rsid w:val="00371CBA"/>
    <w:rsid w:val="00387DF5"/>
    <w:rsid w:val="00392329"/>
    <w:rsid w:val="003938B7"/>
    <w:rsid w:val="003A30DD"/>
    <w:rsid w:val="003A417B"/>
    <w:rsid w:val="003B25FF"/>
    <w:rsid w:val="003F2253"/>
    <w:rsid w:val="003F37D0"/>
    <w:rsid w:val="00404D91"/>
    <w:rsid w:val="00416A76"/>
    <w:rsid w:val="0043478C"/>
    <w:rsid w:val="00440FFE"/>
    <w:rsid w:val="004650A1"/>
    <w:rsid w:val="00471867"/>
    <w:rsid w:val="004809D5"/>
    <w:rsid w:val="00482DDA"/>
    <w:rsid w:val="00483096"/>
    <w:rsid w:val="004B0033"/>
    <w:rsid w:val="004D3500"/>
    <w:rsid w:val="004E2953"/>
    <w:rsid w:val="004F417A"/>
    <w:rsid w:val="004F62F0"/>
    <w:rsid w:val="00505DF1"/>
    <w:rsid w:val="005321DE"/>
    <w:rsid w:val="00532410"/>
    <w:rsid w:val="00536729"/>
    <w:rsid w:val="005442EE"/>
    <w:rsid w:val="005504FB"/>
    <w:rsid w:val="005723FC"/>
    <w:rsid w:val="00592637"/>
    <w:rsid w:val="005962C1"/>
    <w:rsid w:val="005A1E1B"/>
    <w:rsid w:val="005A5F3F"/>
    <w:rsid w:val="005B2849"/>
    <w:rsid w:val="005C62FC"/>
    <w:rsid w:val="005F6514"/>
    <w:rsid w:val="006051B2"/>
    <w:rsid w:val="0062284B"/>
    <w:rsid w:val="00624DDE"/>
    <w:rsid w:val="0064480D"/>
    <w:rsid w:val="00645A47"/>
    <w:rsid w:val="00682D4D"/>
    <w:rsid w:val="00690716"/>
    <w:rsid w:val="00695A75"/>
    <w:rsid w:val="006B7F50"/>
    <w:rsid w:val="006D4E9D"/>
    <w:rsid w:val="006E1715"/>
    <w:rsid w:val="00700100"/>
    <w:rsid w:val="00721EC5"/>
    <w:rsid w:val="00764ED8"/>
    <w:rsid w:val="00773939"/>
    <w:rsid w:val="0077737C"/>
    <w:rsid w:val="00784DB4"/>
    <w:rsid w:val="00784E29"/>
    <w:rsid w:val="007C6C64"/>
    <w:rsid w:val="007D6A76"/>
    <w:rsid w:val="007F201B"/>
    <w:rsid w:val="00802C6F"/>
    <w:rsid w:val="0081415D"/>
    <w:rsid w:val="0083319A"/>
    <w:rsid w:val="00834728"/>
    <w:rsid w:val="00844BC3"/>
    <w:rsid w:val="00870B32"/>
    <w:rsid w:val="008854D2"/>
    <w:rsid w:val="00895C87"/>
    <w:rsid w:val="008A3339"/>
    <w:rsid w:val="008A5876"/>
    <w:rsid w:val="008C516A"/>
    <w:rsid w:val="00925915"/>
    <w:rsid w:val="0093132F"/>
    <w:rsid w:val="00937E4D"/>
    <w:rsid w:val="009505AC"/>
    <w:rsid w:val="009C2A03"/>
    <w:rsid w:val="00A15AFE"/>
    <w:rsid w:val="00A44E81"/>
    <w:rsid w:val="00A45006"/>
    <w:rsid w:val="00A8092A"/>
    <w:rsid w:val="00AA146D"/>
    <w:rsid w:val="00AC0149"/>
    <w:rsid w:val="00AC01F5"/>
    <w:rsid w:val="00AC6512"/>
    <w:rsid w:val="00AE440C"/>
    <w:rsid w:val="00AF408F"/>
    <w:rsid w:val="00AF4631"/>
    <w:rsid w:val="00B161DF"/>
    <w:rsid w:val="00B267DA"/>
    <w:rsid w:val="00B4329C"/>
    <w:rsid w:val="00B45C2F"/>
    <w:rsid w:val="00B7554B"/>
    <w:rsid w:val="00B8401E"/>
    <w:rsid w:val="00B85A18"/>
    <w:rsid w:val="00B94C95"/>
    <w:rsid w:val="00B96EAD"/>
    <w:rsid w:val="00B971A1"/>
    <w:rsid w:val="00BA2F32"/>
    <w:rsid w:val="00BD7648"/>
    <w:rsid w:val="00C001F2"/>
    <w:rsid w:val="00C42649"/>
    <w:rsid w:val="00C548A9"/>
    <w:rsid w:val="00C639F8"/>
    <w:rsid w:val="00C92C84"/>
    <w:rsid w:val="00C95F2D"/>
    <w:rsid w:val="00CA4A74"/>
    <w:rsid w:val="00CB2685"/>
    <w:rsid w:val="00CC6158"/>
    <w:rsid w:val="00CD17B0"/>
    <w:rsid w:val="00CE3E4A"/>
    <w:rsid w:val="00CF3371"/>
    <w:rsid w:val="00D14BE2"/>
    <w:rsid w:val="00D33E1C"/>
    <w:rsid w:val="00D378C4"/>
    <w:rsid w:val="00D77A34"/>
    <w:rsid w:val="00D9674E"/>
    <w:rsid w:val="00DF2CDB"/>
    <w:rsid w:val="00DF45F3"/>
    <w:rsid w:val="00DF6E19"/>
    <w:rsid w:val="00E00BB8"/>
    <w:rsid w:val="00E16449"/>
    <w:rsid w:val="00E3218E"/>
    <w:rsid w:val="00E61B92"/>
    <w:rsid w:val="00E76FD2"/>
    <w:rsid w:val="00E82EFD"/>
    <w:rsid w:val="00E96E9C"/>
    <w:rsid w:val="00EB1BE4"/>
    <w:rsid w:val="00EC380E"/>
    <w:rsid w:val="00EC4221"/>
    <w:rsid w:val="00EF62FD"/>
    <w:rsid w:val="00F10728"/>
    <w:rsid w:val="00F556CA"/>
    <w:rsid w:val="00F57053"/>
    <w:rsid w:val="00F70223"/>
    <w:rsid w:val="00F92E42"/>
    <w:rsid w:val="00FA0042"/>
    <w:rsid w:val="00FA3A35"/>
    <w:rsid w:val="00FC721C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78E"/>
  <w15:chartTrackingRefBased/>
  <w15:docId w15:val="{BE3D2EB6-C112-4E9D-8C98-2AD00D4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basedOn w:val="Zadanifontodlomka"/>
    <w:uiPriority w:val="99"/>
    <w:semiHidden/>
    <w:unhideWhenUsed/>
    <w:rsid w:val="00C639F8"/>
    <w:rPr>
      <w:vertAlign w:val="superscript"/>
    </w:rPr>
  </w:style>
  <w:style w:type="paragraph" w:styleId="Odlomakpopisa">
    <w:name w:val="List Paragraph"/>
    <w:basedOn w:val="Normal"/>
    <w:uiPriority w:val="34"/>
    <w:qFormat/>
    <w:rsid w:val="00C639F8"/>
    <w:pPr>
      <w:ind w:left="720"/>
      <w:contextualSpacing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639F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39F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C01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0149"/>
    <w:rPr>
      <w:color w:val="605E5C"/>
      <w:shd w:val="clear" w:color="auto" w:fill="E1DFDD"/>
    </w:rPr>
  </w:style>
  <w:style w:type="paragraph" w:customStyle="1" w:styleId="Default">
    <w:name w:val="Default"/>
    <w:rsid w:val="00682D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2D69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69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69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69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69A0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05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6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3A6B-4C1E-4027-9937-BB3D0514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Dragica Kovčalija</cp:lastModifiedBy>
  <cp:revision>5</cp:revision>
  <dcterms:created xsi:type="dcterms:W3CDTF">2022-03-28T10:36:00Z</dcterms:created>
  <dcterms:modified xsi:type="dcterms:W3CDTF">2022-05-03T12:12:00Z</dcterms:modified>
</cp:coreProperties>
</file>