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8FA6" w14:textId="77777777" w:rsidR="009A7A34" w:rsidRPr="009A7A34" w:rsidRDefault="009A7A34" w:rsidP="009A7A34">
      <w:pPr>
        <w:keepNext/>
        <w:spacing w:after="0" w:line="360" w:lineRule="auto"/>
        <w:outlineLvl w:val="1"/>
        <w:rPr>
          <w:rFonts w:ascii="Calibri" w:eastAsia="Times New Roman" w:hAnsi="Calibri" w:cs="Times New Roman"/>
          <w:b/>
          <w:bCs/>
          <w:iCs/>
          <w:sz w:val="24"/>
          <w:szCs w:val="24"/>
        </w:rPr>
      </w:pPr>
      <w:r w:rsidRPr="009A7A34">
        <w:rPr>
          <w:rFonts w:ascii="Calibri" w:eastAsia="Times New Roman" w:hAnsi="Calibri" w:cs="Times New Roman"/>
          <w:b/>
          <w:bCs/>
          <w:iCs/>
          <w:sz w:val="24"/>
          <w:szCs w:val="24"/>
        </w:rPr>
        <w:t>PRILOG 2. Obrazac za izradu izvješća o samovrednovanju</w:t>
      </w:r>
    </w:p>
    <w:p w14:paraId="663D85A8" w14:textId="77777777" w:rsidR="009A7A34" w:rsidRPr="009A7A34" w:rsidRDefault="009A7A34" w:rsidP="009A7A34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</w:p>
    <w:p w14:paraId="613D5A44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</w:rPr>
      </w:pPr>
    </w:p>
    <w:p w14:paraId="09BCD38C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</w:rPr>
      </w:pPr>
    </w:p>
    <w:p w14:paraId="2C0C6A77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</w:rPr>
      </w:pPr>
    </w:p>
    <w:p w14:paraId="735D3171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</w:rPr>
      </w:pPr>
    </w:p>
    <w:p w14:paraId="593EB090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</w:rPr>
      </w:pPr>
    </w:p>
    <w:p w14:paraId="55086F89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</w:rPr>
      </w:pPr>
    </w:p>
    <w:p w14:paraId="3FABB1D6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</w:rPr>
      </w:pPr>
    </w:p>
    <w:p w14:paraId="38D23B21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</w:rPr>
      </w:pPr>
    </w:p>
    <w:p w14:paraId="74333967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</w:rPr>
      </w:pPr>
    </w:p>
    <w:p w14:paraId="6C2E0B24" w14:textId="77777777" w:rsidR="009A7A34" w:rsidRPr="009A7A34" w:rsidRDefault="009A7A34" w:rsidP="009A7A34">
      <w:pPr>
        <w:spacing w:after="200" w:line="252" w:lineRule="auto"/>
        <w:rPr>
          <w:rFonts w:ascii="Cambria" w:eastAsia="Times New Roman" w:hAnsi="Cambria" w:cs="Times New Roman"/>
          <w:color w:val="297FD5"/>
          <w:sz w:val="72"/>
          <w:szCs w:val="72"/>
        </w:rPr>
      </w:pPr>
      <w:r w:rsidRPr="009A7A34">
        <w:rPr>
          <w:rFonts w:ascii="Cambria" w:eastAsia="Times New Roman" w:hAnsi="Cambria" w:cs="Times New Roman"/>
          <w:color w:val="297FD5"/>
          <w:sz w:val="72"/>
          <w:szCs w:val="72"/>
        </w:rPr>
        <w:t>Izvješće o samovrednovanju</w:t>
      </w:r>
    </w:p>
    <w:p w14:paraId="3D6E657B" w14:textId="77777777" w:rsidR="009A7A34" w:rsidRPr="009A7A34" w:rsidRDefault="009A7A34" w:rsidP="009A7A34">
      <w:pPr>
        <w:spacing w:after="200" w:line="252" w:lineRule="auto"/>
        <w:rPr>
          <w:rFonts w:ascii="Cambria" w:eastAsia="Times New Roman" w:hAnsi="Cambria" w:cs="Times New Roman"/>
          <w:color w:val="297FD5"/>
          <w:sz w:val="56"/>
          <w:szCs w:val="56"/>
        </w:rPr>
      </w:pPr>
      <w:r w:rsidRPr="009A7A34">
        <w:rPr>
          <w:rFonts w:ascii="Cambria" w:eastAsia="Times New Roman" w:hAnsi="Cambria" w:cs="Times New Roman"/>
          <w:color w:val="297FD5"/>
          <w:sz w:val="56"/>
          <w:szCs w:val="56"/>
        </w:rPr>
        <w:t>Naziv ustanove</w:t>
      </w:r>
    </w:p>
    <w:p w14:paraId="4F37EDD5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2FABEF87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7210DE23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C26EB97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C28B188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502F98A7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D002E3C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1AFA9F66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1BC1B93D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71EC20F0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AB897D8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66A5E84C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5CD999C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3B8A9BA9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F827FC1" w14:textId="77777777" w:rsidR="009A7A34" w:rsidRPr="009A7A34" w:rsidRDefault="009A7A34" w:rsidP="009A7A34">
      <w:pPr>
        <w:spacing w:after="200" w:line="252" w:lineRule="auto"/>
        <w:jc w:val="center"/>
        <w:rPr>
          <w:rFonts w:ascii="Cambria" w:eastAsia="Times New Roman" w:hAnsi="Cambria" w:cs="Times New Roman"/>
          <w:color w:val="297FD5"/>
          <w:sz w:val="44"/>
          <w:szCs w:val="44"/>
        </w:rPr>
      </w:pPr>
      <w:r w:rsidRPr="009A7A34">
        <w:rPr>
          <w:rFonts w:ascii="Cambria" w:eastAsia="Times New Roman" w:hAnsi="Cambria" w:cs="Times New Roman"/>
          <w:color w:val="297FD5"/>
          <w:sz w:val="44"/>
          <w:szCs w:val="44"/>
        </w:rPr>
        <w:t>Mjesto, datum</w:t>
      </w:r>
    </w:p>
    <w:p w14:paraId="5C6BF564" w14:textId="77777777" w:rsidR="009A7A34" w:rsidRPr="009A7A34" w:rsidRDefault="009A7A34" w:rsidP="009A7A34">
      <w:pPr>
        <w:spacing w:after="200" w:line="252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34B1D4D8" w14:textId="77777777" w:rsidR="009A7A34" w:rsidRPr="009A7A34" w:rsidRDefault="009A7A34" w:rsidP="009A7A34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253F424E" w14:textId="77777777" w:rsidR="009A7A34" w:rsidRPr="009A7A34" w:rsidRDefault="009A7A34" w:rsidP="009A7A34">
      <w:pPr>
        <w:pBdr>
          <w:bottom w:val="thinThickSmallGap" w:sz="12" w:space="1" w:color="1E5E9F"/>
        </w:pBdr>
        <w:spacing w:before="400" w:after="200" w:line="252" w:lineRule="auto"/>
        <w:jc w:val="center"/>
        <w:rPr>
          <w:rFonts w:ascii="Calibri" w:eastAsia="Times New Roman" w:hAnsi="Calibri" w:cs="Times New Roman"/>
          <w:b/>
          <w:i/>
          <w:caps/>
          <w:color w:val="297FD5"/>
          <w:spacing w:val="20"/>
          <w:sz w:val="28"/>
          <w:szCs w:val="28"/>
          <w:lang w:bidi="en-US"/>
        </w:rPr>
      </w:pPr>
      <w:r w:rsidRPr="009A7A34">
        <w:rPr>
          <w:rFonts w:ascii="Calibri" w:eastAsia="Times New Roman" w:hAnsi="Calibri" w:cs="Times New Roman"/>
          <w:b/>
          <w:i/>
          <w:caps/>
          <w:color w:val="297FD5"/>
          <w:spacing w:val="20"/>
          <w:sz w:val="28"/>
          <w:szCs w:val="28"/>
          <w:lang w:bidi="en-US"/>
        </w:rPr>
        <w:lastRenderedPageBreak/>
        <w:t>Sadržaj</w:t>
      </w:r>
    </w:p>
    <w:p w14:paraId="06DF6A07" w14:textId="1DA4A923" w:rsidR="009A7A34" w:rsidRPr="009A7A34" w:rsidRDefault="009A7A34" w:rsidP="009A7A34">
      <w:pPr>
        <w:tabs>
          <w:tab w:val="right" w:leader="dot" w:pos="9062"/>
        </w:tabs>
        <w:spacing w:after="100" w:line="252" w:lineRule="auto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r w:rsidRPr="009A7A34">
        <w:rPr>
          <w:rFonts w:ascii="Cambria" w:eastAsia="Times New Roman" w:hAnsi="Cambria" w:cs="Times New Roman"/>
          <w:color w:val="297FD5"/>
          <w:sz w:val="24"/>
          <w:szCs w:val="24"/>
          <w:lang w:eastAsia="ja-JP"/>
        </w:rPr>
        <w:fldChar w:fldCharType="begin"/>
      </w:r>
      <w:r w:rsidRPr="009A7A34">
        <w:rPr>
          <w:rFonts w:ascii="Cambria" w:eastAsia="Times New Roman" w:hAnsi="Cambria" w:cs="Times New Roman"/>
          <w:color w:val="297FD5"/>
          <w:sz w:val="24"/>
          <w:szCs w:val="24"/>
          <w:lang w:eastAsia="ja-JP"/>
        </w:rPr>
        <w:instrText xml:space="preserve"> TOC \o "1-3" \h \z \u </w:instrText>
      </w:r>
      <w:r w:rsidRPr="009A7A34">
        <w:rPr>
          <w:rFonts w:ascii="Cambria" w:eastAsia="Times New Roman" w:hAnsi="Cambria" w:cs="Times New Roman"/>
          <w:color w:val="297FD5"/>
          <w:sz w:val="24"/>
          <w:szCs w:val="24"/>
          <w:lang w:eastAsia="ja-JP"/>
        </w:rPr>
        <w:fldChar w:fldCharType="separate"/>
      </w:r>
      <w:hyperlink w:anchor="_Toc66799828" w:history="1">
        <w:r w:rsidRPr="009A7A34">
          <w:rPr>
            <w:rFonts w:ascii="Cambria" w:eastAsia="Times New Roman" w:hAnsi="Cambria" w:cs="Times New Roman"/>
            <w:b/>
            <w:bCs/>
            <w:i/>
            <w:iCs/>
            <w:noProof/>
            <w:color w:val="297FD5"/>
            <w:sz w:val="24"/>
            <w:szCs w:val="24"/>
            <w:u w:val="single"/>
            <w:lang w:val="en-US" w:eastAsia="ja-JP"/>
          </w:rPr>
          <w:t>Opći pregled</w:t>
        </w:r>
        <w:r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_Toc66799828 \h </w:instrText>
        </w:r>
        <w:r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4</w:t>
        </w:r>
        <w:r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43F35128" w14:textId="7A0682B6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29" w:history="1">
        <w:r w:rsidR="009A7A34" w:rsidRPr="009A7A34">
          <w:rPr>
            <w:rFonts w:ascii="Cambria" w:eastAsia="Times New Roman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Osnovne informacije o ustanovi (povijesni razvoj, organizacijska struktura, misija i vizija, obrazovni programi, broj polaznika, broj nastavnika i sl.)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_Toc66799829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4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687D315D" w14:textId="0E2BFBDA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30" w:history="1">
        <w:r w:rsidR="009A7A34" w:rsidRPr="009A7A34">
          <w:rPr>
            <w:rFonts w:ascii="Cambria" w:eastAsia="Times New Roman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Opis tijeka izrade izvješća o samovrednovanju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_Toc66799830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4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25DBA1B7" w14:textId="1635DC99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31" w:history="1">
        <w:r w:rsidR="009A7A34" w:rsidRPr="009A7A34">
          <w:rPr>
            <w:rFonts w:ascii="Cambria" w:eastAsia="Times New Roman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Informacija o dosadašnjim vanjskim vrednovanjima i/ili provedenim nadzorima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_Toc66799831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4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75D7B6A7" w14:textId="18153034" w:rsidR="009A7A34" w:rsidRPr="009A7A34" w:rsidRDefault="00C57792" w:rsidP="009A7A34">
      <w:pPr>
        <w:tabs>
          <w:tab w:val="right" w:leader="dot" w:pos="9062"/>
        </w:tabs>
        <w:spacing w:after="100" w:line="252" w:lineRule="auto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32" w:history="1">
        <w:r w:rsidR="009A7A34" w:rsidRPr="009A7A34">
          <w:rPr>
            <w:rFonts w:ascii="Cambria" w:eastAsia="Times New Roman" w:hAnsi="Cambria" w:cs="Times New Roman"/>
            <w:b/>
            <w:bCs/>
            <w:i/>
            <w:iCs/>
            <w:noProof/>
            <w:color w:val="297FD5"/>
            <w:sz w:val="24"/>
            <w:szCs w:val="24"/>
            <w:u w:val="single"/>
            <w:lang w:val="en-US" w:eastAsia="ja-JP"/>
          </w:rPr>
          <w:t>I. područje kvalitete: Upravljanje ustanovom i sustavom osiguravanja kvalitete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_Toc66799832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4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6F872850" w14:textId="5989FB5D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33" w:history="1">
        <w:r w:rsidR="009A7A34" w:rsidRPr="009A7A34">
          <w:rPr>
            <w:rFonts w:ascii="Cambria" w:eastAsia="Times New Roman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Standard 1.1. Ustanova za obrazovanje odraslih uspostavila je učinkovit sustav upravljanja ustanovom.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_Toc66799833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4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2F228AD0" w14:textId="5E102728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34" w:history="1">
        <w:r w:rsidR="009A7A34" w:rsidRPr="009A7A34">
          <w:rPr>
            <w:rFonts w:ascii="Cambria" w:eastAsia="Times New Roman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Standard 1.2. Ustanova za obrazovanje odraslih uspostavila je učinkovit unutarnji sustav osiguravanja kvalitete koji je dio strateškog upravljanja.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_Toc66799834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4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5B3409E1" w14:textId="21FAF175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35" w:history="1">
        <w:r w:rsidR="009A7A34" w:rsidRPr="009A7A34">
          <w:rPr>
            <w:rFonts w:ascii="Cambria" w:eastAsia="Times New Roman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Standard 1.3. Ustanova za obrazovanje odraslih redovito provodi proces samovrednovanja i temeljem nalaza procesa samovrednovanja kontinuirano unaprjeđuje kvalitetu svih svojih aktivnosti.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_Toc66799835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4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766BDF0B" w14:textId="3300D590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36" w:history="1">
        <w:r w:rsidR="009A7A34" w:rsidRPr="009A7A34">
          <w:rPr>
            <w:rFonts w:ascii="Cambria" w:eastAsia="Times New Roman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Standard 1.4. Ustanova za obrazovanje odraslih redovito prikuplja i analizira podatke o svim svojim aktivnostima te dobivene analize koristi za daljnja unaprjeđenja.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_Toc66799836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5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23588ED3" w14:textId="26526288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37" w:history="1">
        <w:r w:rsidR="009A7A34" w:rsidRPr="009A7A34">
          <w:rPr>
            <w:rFonts w:ascii="Cambria" w:eastAsia="Times New Roman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Standard 1.5. Ustanova za obrazovanje odraslih vodi i čuva andragošku dokumentaciju i evidenciju te izdaje javne isprave u skladu s propisima.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_Toc66799837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5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176C08CD" w14:textId="6A4FF670" w:rsidR="009A7A34" w:rsidRPr="009A7A34" w:rsidRDefault="00C57792" w:rsidP="009A7A34">
      <w:pPr>
        <w:tabs>
          <w:tab w:val="right" w:leader="dot" w:pos="9062"/>
        </w:tabs>
        <w:spacing w:after="100" w:line="252" w:lineRule="auto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38" w:history="1">
        <w:r w:rsidR="009A7A34" w:rsidRPr="009A7A34">
          <w:rPr>
            <w:rFonts w:ascii="Cambria" w:eastAsia="Times New Roman" w:hAnsi="Cambria" w:cs="Times New Roman"/>
            <w:b/>
            <w:bCs/>
            <w:i/>
            <w:iCs/>
            <w:noProof/>
            <w:color w:val="297FD5"/>
            <w:sz w:val="24"/>
            <w:szCs w:val="24"/>
            <w:u w:val="single"/>
            <w:lang w:val="en-US" w:eastAsia="ja-JP"/>
          </w:rPr>
          <w:t>II. područje kvalitete: Obrazovni programi, učenje i poučavanje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_Toc66799838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5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269A5347" w14:textId="6A33E039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39" w:history="1">
        <w:r w:rsidR="009A7A34" w:rsidRPr="009A7A34">
          <w:rPr>
            <w:rFonts w:ascii="Cambria" w:eastAsia="Times New Roman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Standard 2.1 Obrazovni je program utemeljen na konceptu ishoda učenja i usklađen s HKO-om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_Toc66799839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5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0979841E" w14:textId="73CD7BFC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40" w:history="1">
        <w:r w:rsidR="009A7A34" w:rsidRPr="009A7A34">
          <w:rPr>
            <w:rFonts w:ascii="Cambria" w:eastAsia="Times New Roman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Standard 2.2. Učenje i poučavanje usmjereno je na polaznika i u skladu je s predviđenim ishodima učenja.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_Toc66799840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5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15CE24A7" w14:textId="6B017DE0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41" w:history="1">
        <w:r w:rsidR="009A7A34" w:rsidRPr="009A7A34">
          <w:rPr>
            <w:rFonts w:ascii="Cambria" w:eastAsia="Times New Roman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Standard 2.3. Ustanova za obrazovanje odraslih omogućava učenje temeljeno na radu i stjecanje praktičnih vještina (ako je primjenjivo).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_Toc66799841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6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2060E586" w14:textId="4036A912" w:rsidR="009A7A34" w:rsidRPr="009A7A34" w:rsidRDefault="00C57792" w:rsidP="009A7A34">
      <w:pPr>
        <w:tabs>
          <w:tab w:val="right" w:leader="dot" w:pos="9062"/>
        </w:tabs>
        <w:spacing w:after="100" w:line="252" w:lineRule="auto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42" w:history="1">
        <w:r w:rsidR="009A7A34" w:rsidRPr="009A7A34">
          <w:rPr>
            <w:rFonts w:ascii="Cambria" w:eastAsia="Times New Roman" w:hAnsi="Cambria" w:cs="Times New Roman"/>
            <w:b/>
            <w:bCs/>
            <w:i/>
            <w:iCs/>
            <w:noProof/>
            <w:color w:val="297FD5"/>
            <w:sz w:val="24"/>
            <w:szCs w:val="24"/>
            <w:u w:val="single"/>
            <w:lang w:val="en-US" w:eastAsia="ja-JP"/>
          </w:rPr>
          <w:t>III. područje kvalitete: Postignuća polaznika i briga o polaznicima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_Toc66799842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6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40520AC4" w14:textId="17FA2D4A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43" w:history="1">
        <w:r w:rsidR="009A7A34" w:rsidRPr="009A7A34">
          <w:rPr>
            <w:rFonts w:ascii="Cambria" w:eastAsia="Calibri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Standard 3.1. Vrednovanje postignuća polaznika je objektivno i dosljedno te osigurava stjecanje predviđenih ishoda učenja.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_Toc66799843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6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2673C6D0" w14:textId="14922FE6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44" w:history="1">
        <w:r w:rsidR="009A7A34" w:rsidRPr="009A7A34">
          <w:rPr>
            <w:rFonts w:ascii="Cambria" w:eastAsia="Calibri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Standard 3.2. Ustanova za obrazovanje odraslih prati polaznike nakon završetka obrazovanja i u skladu s nalazima unaprjeđuje kvalitetu svog rada.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_Toc66799844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6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429EE996" w14:textId="20FDFFB8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jc w:val="both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45" w:history="1">
        <w:r w:rsidR="009A7A34" w:rsidRPr="009A7A34">
          <w:rPr>
            <w:rFonts w:ascii="Cambria" w:eastAsia="Calibri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Standard 3.3. Ustanova za obrazovanje odraslih osigurava upis polaznika odgovarajućeg predznanja i motivacije, potiče uključivanje polaznika iz ranjivih i podzastupljenih skupina te vodi brigu o napredovanju polaznika.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_Toc66799845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6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6573F908" w14:textId="209B02CA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46" w:history="1">
        <w:r w:rsidR="009A7A34" w:rsidRPr="009A7A34">
          <w:rPr>
            <w:rFonts w:ascii="Cambria" w:eastAsia="Calibri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Standard 3.4. Ustanova za obrazovanje odraslih ima odgovarajući sustav podrške polaznicima koji je prilagođen potrebama raznolike populacije polaznika.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_Toc66799846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7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2D258412" w14:textId="6815368D" w:rsidR="009A7A34" w:rsidRPr="009A7A34" w:rsidRDefault="00C57792" w:rsidP="009A7A34">
      <w:pPr>
        <w:tabs>
          <w:tab w:val="right" w:leader="dot" w:pos="9062"/>
        </w:tabs>
        <w:spacing w:after="100" w:line="252" w:lineRule="auto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47" w:history="1">
        <w:r w:rsidR="009A7A34" w:rsidRPr="009A7A34">
          <w:rPr>
            <w:rFonts w:ascii="Cambria" w:eastAsia="Times New Roman" w:hAnsi="Cambria" w:cs="Times New Roman"/>
            <w:b/>
            <w:bCs/>
            <w:i/>
            <w:iCs/>
            <w:noProof/>
            <w:color w:val="297FD5"/>
            <w:sz w:val="24"/>
            <w:szCs w:val="24"/>
            <w:u w:val="single"/>
            <w:lang w:val="en-US" w:eastAsia="ja-JP"/>
          </w:rPr>
          <w:t>IV. područje kvalitete: Ljudski i materijalni resursi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_Toc66799847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7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13486A0D" w14:textId="2ED83958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48" w:history="1">
        <w:r w:rsidR="009A7A34" w:rsidRPr="009A7A34">
          <w:rPr>
            <w:rFonts w:ascii="Cambria" w:eastAsia="Calibri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Standard 4.1. Nastavnički kapaciteti zadovoljavajući su za kvalitetno izvođenje nastave i osiguravaju postizanje predviđenih ishoda učenja.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_Toc66799848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7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5C194173" w14:textId="425516EC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49" w:history="1">
        <w:r w:rsidR="009A7A34" w:rsidRPr="009A7A34">
          <w:rPr>
            <w:rFonts w:ascii="Cambria" w:eastAsia="Calibri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Standard 4.2. Prostorni i materijalni uvjeti zadovoljavajući su za izvođenje programa obrazovanja odraslih i osiguravaju postizanje predviđenih ishoda učenja.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_Toc66799849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7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4FF0B29E" w14:textId="742216F8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50" w:history="1">
        <w:r w:rsidR="009A7A34" w:rsidRPr="009A7A34">
          <w:rPr>
            <w:rFonts w:ascii="Cambria" w:eastAsia="Calibri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Standard 4.3. Ustanova za obrazovanje odraslih upravlja financijama na održiv i razvojno usmjeren način.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_Toc66799850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7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60012912" w14:textId="2E2AA46A" w:rsidR="009A7A34" w:rsidRPr="009A7A34" w:rsidRDefault="00C57792" w:rsidP="009A7A34">
      <w:pPr>
        <w:tabs>
          <w:tab w:val="right" w:leader="dot" w:pos="9062"/>
        </w:tabs>
        <w:spacing w:after="100" w:line="252" w:lineRule="auto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51" w:history="1">
        <w:r w:rsidR="009A7A34" w:rsidRPr="009A7A34">
          <w:rPr>
            <w:rFonts w:ascii="Cambria" w:eastAsia="Times New Roman" w:hAnsi="Cambria" w:cs="Times New Roman"/>
            <w:b/>
            <w:bCs/>
            <w:i/>
            <w:iCs/>
            <w:noProof/>
            <w:color w:val="297FD5"/>
            <w:sz w:val="24"/>
            <w:szCs w:val="24"/>
            <w:u w:val="single"/>
            <w:lang w:val="en-US" w:eastAsia="ja-JP"/>
          </w:rPr>
          <w:t>V. područje kvalitete: Informiranje javnosti, komunikacija i suradnja, integritet i etičnost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_Toc66799851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8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279170EE" w14:textId="4CC531BD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52" w:history="1">
        <w:r w:rsidR="009A7A34" w:rsidRPr="009A7A34">
          <w:rPr>
            <w:rFonts w:ascii="Cambria" w:eastAsia="Calibri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Standard 5.1. Ustanova za obrazovanje odraslih objavljuje informacije o svim svojim aktivnostima te aktivno promovira ulogu i važnost obrazovanja odraslih.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_Toc66799852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8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11A628B0" w14:textId="02B6FCFE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53" w:history="1">
        <w:r w:rsidR="009A7A34" w:rsidRPr="009A7A34">
          <w:rPr>
            <w:rFonts w:ascii="Cambria" w:eastAsia="Calibri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Standard 5.2. Ustanova za obrazovanje odraslih aktivno surađuje s drugim ustanovama i organizacijama te potiče mobilnost i internacionalizaciju, prijenos znanja i inovativnost.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_Toc66799853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8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2E73B3B1" w14:textId="42B1B105" w:rsidR="009A7A34" w:rsidRPr="009A7A34" w:rsidRDefault="00C57792" w:rsidP="009A7A34">
      <w:pPr>
        <w:tabs>
          <w:tab w:val="right" w:leader="dot" w:pos="9062"/>
        </w:tabs>
        <w:spacing w:after="100" w:line="252" w:lineRule="auto"/>
        <w:ind w:left="220"/>
        <w:rPr>
          <w:rFonts w:ascii="Calibri" w:eastAsia="Times New Roman" w:hAnsi="Calibri" w:cs="Times New Roman"/>
          <w:noProof/>
          <w:color w:val="297FD5"/>
          <w:sz w:val="24"/>
          <w:szCs w:val="24"/>
          <w:lang w:val="en-GB" w:eastAsia="en-GB"/>
        </w:rPr>
      </w:pPr>
      <w:hyperlink w:anchor="_Toc66799854" w:history="1">
        <w:r w:rsidR="009A7A34" w:rsidRPr="009A7A34">
          <w:rPr>
            <w:rFonts w:ascii="Cambria" w:eastAsia="Calibri" w:hAnsi="Cambria" w:cs="Times New Roman"/>
            <w:b/>
            <w:noProof/>
            <w:color w:val="297FD5"/>
            <w:sz w:val="24"/>
            <w:szCs w:val="24"/>
            <w:u w:val="single"/>
            <w:lang w:val="en-US" w:eastAsia="ja-JP"/>
          </w:rPr>
          <w:t>Standard 5.3. Ustanova za obrazovanje odraslih je razvila mehanizme za očuvanje integriteta, prevenciju i sankcioniranje svih oblika neetičnog ponašanja.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_Toc66799854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8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27C15948" w14:textId="105F484F" w:rsidR="009A7A34" w:rsidRPr="009A7A34" w:rsidRDefault="00C57792" w:rsidP="009A7A34">
      <w:pPr>
        <w:tabs>
          <w:tab w:val="right" w:leader="dot" w:pos="9062"/>
        </w:tabs>
        <w:spacing w:after="100" w:line="252" w:lineRule="auto"/>
        <w:rPr>
          <w:rFonts w:ascii="Calibri" w:eastAsia="Times New Roman" w:hAnsi="Calibri" w:cs="Times New Roman"/>
          <w:noProof/>
          <w:sz w:val="24"/>
          <w:szCs w:val="24"/>
          <w:lang w:val="en-GB" w:eastAsia="en-GB"/>
        </w:rPr>
      </w:pPr>
      <w:hyperlink w:anchor="_Toc66799855" w:history="1">
        <w:r w:rsidR="009A7A34" w:rsidRPr="009A7A34">
          <w:rPr>
            <w:rFonts w:ascii="Cambria" w:eastAsia="Times New Roman" w:hAnsi="Cambria" w:cs="Times New Roman"/>
            <w:b/>
            <w:bCs/>
            <w:i/>
            <w:iCs/>
            <w:noProof/>
            <w:color w:val="297FD5"/>
            <w:sz w:val="24"/>
            <w:szCs w:val="24"/>
            <w:u w:val="single"/>
            <w:lang w:val="en-US" w:eastAsia="ja-JP"/>
          </w:rPr>
          <w:t>Prilozi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ab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begin"/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instrText xml:space="preserve"> PAGEREF _Toc66799855 \h </w:instrTex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separate"/>
        </w:r>
        <w:r w:rsidR="00607FFA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t>8</w:t>
        </w:r>
        <w:r w:rsidR="009A7A34" w:rsidRPr="009A7A34">
          <w:rPr>
            <w:rFonts w:ascii="Cambria" w:eastAsia="Times New Roman" w:hAnsi="Cambria" w:cs="Times New Roman"/>
            <w:noProof/>
            <w:webHidden/>
            <w:color w:val="297FD5"/>
            <w:sz w:val="24"/>
            <w:szCs w:val="24"/>
            <w:lang w:val="en-US" w:eastAsia="ja-JP"/>
          </w:rPr>
          <w:fldChar w:fldCharType="end"/>
        </w:r>
      </w:hyperlink>
    </w:p>
    <w:p w14:paraId="3F8AD9AD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9A7A34">
        <w:rPr>
          <w:rFonts w:ascii="Cambria" w:eastAsia="Times New Roman" w:hAnsi="Cambria" w:cs="Times New Roman"/>
          <w:b/>
          <w:bCs/>
          <w:noProof/>
          <w:color w:val="297FD5"/>
          <w:sz w:val="24"/>
          <w:szCs w:val="24"/>
        </w:rPr>
        <w:fldChar w:fldCharType="end"/>
      </w:r>
    </w:p>
    <w:p w14:paraId="4CCD965E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000000"/>
          <w:spacing w:val="20"/>
          <w:sz w:val="24"/>
          <w:szCs w:val="24"/>
        </w:rPr>
      </w:pPr>
    </w:p>
    <w:p w14:paraId="060E69CC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000000"/>
          <w:spacing w:val="20"/>
          <w:sz w:val="24"/>
          <w:szCs w:val="24"/>
        </w:rPr>
      </w:pPr>
    </w:p>
    <w:p w14:paraId="71FD5BD2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000000"/>
          <w:spacing w:val="20"/>
          <w:sz w:val="24"/>
          <w:szCs w:val="24"/>
        </w:rPr>
      </w:pPr>
    </w:p>
    <w:p w14:paraId="1FB887A5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000000"/>
          <w:spacing w:val="20"/>
          <w:sz w:val="24"/>
          <w:szCs w:val="24"/>
        </w:rPr>
      </w:pPr>
    </w:p>
    <w:p w14:paraId="05387E44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000000"/>
          <w:spacing w:val="20"/>
          <w:sz w:val="24"/>
          <w:szCs w:val="24"/>
        </w:rPr>
      </w:pPr>
    </w:p>
    <w:p w14:paraId="6350A874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000000"/>
          <w:spacing w:val="20"/>
          <w:sz w:val="24"/>
          <w:szCs w:val="24"/>
        </w:rPr>
      </w:pPr>
    </w:p>
    <w:p w14:paraId="285B5B5C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000000"/>
          <w:spacing w:val="20"/>
          <w:sz w:val="24"/>
          <w:szCs w:val="24"/>
        </w:rPr>
      </w:pPr>
    </w:p>
    <w:p w14:paraId="53CC9D81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000000"/>
          <w:spacing w:val="20"/>
          <w:sz w:val="24"/>
          <w:szCs w:val="24"/>
        </w:rPr>
      </w:pPr>
    </w:p>
    <w:p w14:paraId="6BC349D5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000000"/>
          <w:spacing w:val="20"/>
          <w:sz w:val="24"/>
          <w:szCs w:val="24"/>
        </w:rPr>
      </w:pPr>
    </w:p>
    <w:p w14:paraId="3DF466C4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000000"/>
          <w:spacing w:val="20"/>
          <w:sz w:val="24"/>
          <w:szCs w:val="24"/>
        </w:rPr>
      </w:pPr>
    </w:p>
    <w:p w14:paraId="641746BE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000000"/>
          <w:spacing w:val="20"/>
          <w:sz w:val="24"/>
          <w:szCs w:val="24"/>
        </w:rPr>
      </w:pPr>
    </w:p>
    <w:p w14:paraId="6C01C32F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000000"/>
          <w:spacing w:val="20"/>
          <w:sz w:val="24"/>
          <w:szCs w:val="24"/>
        </w:rPr>
      </w:pPr>
    </w:p>
    <w:p w14:paraId="1AA9CBF3" w14:textId="77777777" w:rsid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000000"/>
          <w:spacing w:val="20"/>
          <w:sz w:val="24"/>
          <w:szCs w:val="24"/>
        </w:rPr>
      </w:pPr>
    </w:p>
    <w:p w14:paraId="7F01F613" w14:textId="77777777" w:rsid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000000"/>
          <w:spacing w:val="20"/>
          <w:sz w:val="24"/>
          <w:szCs w:val="24"/>
        </w:rPr>
      </w:pPr>
    </w:p>
    <w:p w14:paraId="094A3E14" w14:textId="77777777" w:rsid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000000"/>
          <w:spacing w:val="20"/>
          <w:sz w:val="24"/>
          <w:szCs w:val="24"/>
        </w:rPr>
      </w:pPr>
    </w:p>
    <w:p w14:paraId="003C2C75" w14:textId="77777777" w:rsid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000000"/>
          <w:spacing w:val="20"/>
          <w:sz w:val="24"/>
          <w:szCs w:val="24"/>
        </w:rPr>
      </w:pPr>
    </w:p>
    <w:p w14:paraId="1F8237E8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000000"/>
          <w:spacing w:val="20"/>
          <w:sz w:val="24"/>
          <w:szCs w:val="24"/>
        </w:rPr>
      </w:pPr>
    </w:p>
    <w:p w14:paraId="61A789FC" w14:textId="77777777" w:rsidR="009A7A34" w:rsidRPr="009A7A34" w:rsidRDefault="009A7A34" w:rsidP="009A7A34">
      <w:pPr>
        <w:spacing w:after="200" w:line="252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73657471" w14:textId="77777777" w:rsidR="009A7A34" w:rsidRPr="009A7A34" w:rsidRDefault="009A7A34" w:rsidP="009A7A34">
      <w:pPr>
        <w:pBdr>
          <w:bottom w:val="thinThickSmallGap" w:sz="12" w:space="1" w:color="1E5E9F"/>
        </w:pBdr>
        <w:spacing w:before="400" w:after="200" w:line="252" w:lineRule="auto"/>
        <w:jc w:val="center"/>
        <w:outlineLvl w:val="0"/>
        <w:rPr>
          <w:rFonts w:ascii="Calibri" w:eastAsia="Times New Roman" w:hAnsi="Calibri" w:cs="Times New Roman"/>
          <w:b/>
          <w:bCs/>
          <w:i/>
          <w:iCs/>
          <w:caps/>
          <w:color w:val="297FD5"/>
          <w:spacing w:val="20"/>
          <w:sz w:val="28"/>
          <w:szCs w:val="28"/>
        </w:rPr>
      </w:pPr>
      <w:bookmarkStart w:id="0" w:name="_Toc66799828"/>
      <w:r w:rsidRPr="009A7A34">
        <w:rPr>
          <w:rFonts w:ascii="Calibri" w:eastAsia="Times New Roman" w:hAnsi="Calibri" w:cs="Times New Roman"/>
          <w:b/>
          <w:bCs/>
          <w:i/>
          <w:iCs/>
          <w:caps/>
          <w:color w:val="297FD5"/>
          <w:spacing w:val="20"/>
          <w:sz w:val="28"/>
          <w:szCs w:val="28"/>
        </w:rPr>
        <w:t>Opći pregled</w:t>
      </w:r>
      <w:bookmarkEnd w:id="0"/>
    </w:p>
    <w:p w14:paraId="16310279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</w:pPr>
      <w:bookmarkStart w:id="1" w:name="_Toc66799829"/>
      <w:r w:rsidRPr="009A7A34"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  <w:t>Osnovne informacije o ustanovi (povijesni razvoj, organizacijska struktura, misija i vizija, obrazovni programi, broj polaznika, broj nastavnika i sl.)</w:t>
      </w:r>
      <w:bookmarkEnd w:id="1"/>
    </w:p>
    <w:p w14:paraId="71389354" w14:textId="77777777" w:rsidR="009A7A34" w:rsidRPr="009A7A34" w:rsidRDefault="009A7A34" w:rsidP="009A7A34">
      <w:pPr>
        <w:tabs>
          <w:tab w:val="left" w:pos="3705"/>
        </w:tabs>
        <w:spacing w:after="0" w:line="360" w:lineRule="auto"/>
        <w:rPr>
          <w:rFonts w:ascii="Cambria" w:eastAsia="Times New Roman" w:hAnsi="Cambria" w:cs="Times New Roman"/>
          <w:color w:val="297FD5"/>
          <w:sz w:val="24"/>
          <w:szCs w:val="24"/>
        </w:rPr>
      </w:pPr>
    </w:p>
    <w:p w14:paraId="2278E046" w14:textId="77777777" w:rsidR="009A7A34" w:rsidRPr="009A7A34" w:rsidRDefault="009A7A34" w:rsidP="009A7A34">
      <w:pPr>
        <w:tabs>
          <w:tab w:val="left" w:pos="3705"/>
        </w:tabs>
        <w:spacing w:after="0" w:line="360" w:lineRule="auto"/>
        <w:rPr>
          <w:rFonts w:ascii="Cambria" w:eastAsia="Times New Roman" w:hAnsi="Cambria" w:cs="Times New Roman"/>
          <w:color w:val="297FD5"/>
          <w:sz w:val="24"/>
          <w:szCs w:val="24"/>
        </w:rPr>
      </w:pPr>
    </w:p>
    <w:p w14:paraId="1240A07E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</w:pPr>
      <w:bookmarkStart w:id="2" w:name="_Toc66799830"/>
      <w:r w:rsidRPr="009A7A34"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  <w:t>Opis tijeka izrade izvješća o samovrednovanju</w:t>
      </w:r>
      <w:bookmarkEnd w:id="2"/>
    </w:p>
    <w:p w14:paraId="5459CB0D" w14:textId="77777777" w:rsidR="009A7A34" w:rsidRPr="009A7A34" w:rsidRDefault="009A7A34" w:rsidP="009A7A34">
      <w:pPr>
        <w:tabs>
          <w:tab w:val="left" w:pos="3705"/>
        </w:tabs>
        <w:spacing w:after="0" w:line="360" w:lineRule="auto"/>
        <w:rPr>
          <w:rFonts w:ascii="Cambria" w:eastAsia="Times New Roman" w:hAnsi="Cambria" w:cs="Times New Roman"/>
          <w:color w:val="297FD5"/>
          <w:sz w:val="24"/>
          <w:szCs w:val="24"/>
        </w:rPr>
      </w:pPr>
    </w:p>
    <w:p w14:paraId="13CFA44B" w14:textId="77777777" w:rsidR="009A7A34" w:rsidRPr="009A7A34" w:rsidRDefault="009A7A34" w:rsidP="009A7A34">
      <w:pPr>
        <w:tabs>
          <w:tab w:val="left" w:pos="3705"/>
        </w:tabs>
        <w:spacing w:after="0" w:line="360" w:lineRule="auto"/>
        <w:rPr>
          <w:rFonts w:ascii="Cambria" w:eastAsia="Times New Roman" w:hAnsi="Cambria" w:cs="Times New Roman"/>
          <w:color w:val="297FD5"/>
          <w:sz w:val="24"/>
          <w:szCs w:val="24"/>
        </w:rPr>
      </w:pPr>
    </w:p>
    <w:p w14:paraId="1FDE7A4F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</w:pPr>
      <w:bookmarkStart w:id="3" w:name="_Toc66799831"/>
      <w:r w:rsidRPr="009A7A34"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  <w:t>Informacija o dosadašnjim vanjskim vrednovanjima i/ili provedenim nadzorima</w:t>
      </w:r>
      <w:bookmarkEnd w:id="3"/>
    </w:p>
    <w:p w14:paraId="3506F0DB" w14:textId="77777777" w:rsidR="009A7A34" w:rsidRPr="009A7A34" w:rsidRDefault="009A7A34" w:rsidP="009A7A34">
      <w:pPr>
        <w:tabs>
          <w:tab w:val="left" w:pos="3705"/>
        </w:tabs>
        <w:spacing w:after="0" w:line="360" w:lineRule="auto"/>
        <w:rPr>
          <w:rFonts w:ascii="Cambria" w:eastAsia="Times New Roman" w:hAnsi="Cambria" w:cs="Times New Roman"/>
          <w:color w:val="4F81BD"/>
          <w:sz w:val="24"/>
          <w:szCs w:val="24"/>
        </w:rPr>
      </w:pPr>
    </w:p>
    <w:p w14:paraId="6652D853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mbria" w:eastAsia="Times New Roman" w:hAnsi="Cambria" w:cs="Times New Roman"/>
          <w:caps/>
          <w:color w:val="4F81BD"/>
          <w:spacing w:val="20"/>
          <w:sz w:val="24"/>
          <w:szCs w:val="24"/>
        </w:rPr>
      </w:pPr>
    </w:p>
    <w:p w14:paraId="1341CF08" w14:textId="77777777" w:rsidR="009A7A34" w:rsidRPr="009A7A34" w:rsidRDefault="009A7A34" w:rsidP="009A7A34">
      <w:pPr>
        <w:tabs>
          <w:tab w:val="left" w:pos="3705"/>
        </w:tabs>
        <w:spacing w:after="200" w:line="252" w:lineRule="auto"/>
        <w:rPr>
          <w:rFonts w:ascii="Cambria" w:eastAsia="Times New Roman" w:hAnsi="Cambria" w:cs="Times New Roman"/>
          <w:color w:val="4F81BD"/>
          <w:sz w:val="24"/>
          <w:szCs w:val="24"/>
        </w:rPr>
      </w:pPr>
    </w:p>
    <w:p w14:paraId="5EB02871" w14:textId="77777777" w:rsidR="009A7A34" w:rsidRPr="009A7A34" w:rsidRDefault="009A7A34" w:rsidP="009A7A34">
      <w:pPr>
        <w:pBdr>
          <w:bottom w:val="thinThickSmallGap" w:sz="12" w:space="1" w:color="1E5E9F"/>
        </w:pBdr>
        <w:spacing w:before="400" w:after="200" w:line="252" w:lineRule="auto"/>
        <w:jc w:val="center"/>
        <w:outlineLvl w:val="0"/>
        <w:rPr>
          <w:rFonts w:ascii="Calibri" w:eastAsia="Times New Roman" w:hAnsi="Calibri" w:cs="Times New Roman"/>
          <w:b/>
          <w:bCs/>
          <w:i/>
          <w:iCs/>
          <w:caps/>
          <w:color w:val="297FD5"/>
          <w:spacing w:val="20"/>
          <w:sz w:val="28"/>
          <w:szCs w:val="28"/>
        </w:rPr>
      </w:pPr>
      <w:bookmarkStart w:id="4" w:name="_Toc66799832"/>
      <w:r w:rsidRPr="009A7A34">
        <w:rPr>
          <w:rFonts w:ascii="Calibri" w:eastAsia="Times New Roman" w:hAnsi="Calibri" w:cs="Times New Roman"/>
          <w:b/>
          <w:bCs/>
          <w:i/>
          <w:iCs/>
          <w:caps/>
          <w:color w:val="297FD5"/>
          <w:spacing w:val="20"/>
          <w:sz w:val="28"/>
          <w:szCs w:val="28"/>
        </w:rPr>
        <w:t>I. Područje kvalitete: Upravljanje ustanovom i sustavom osiguravanja kvalitete</w:t>
      </w:r>
      <w:bookmarkEnd w:id="4"/>
    </w:p>
    <w:p w14:paraId="270C5C48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</w:pPr>
      <w:bookmarkStart w:id="5" w:name="_Toc66799833"/>
      <w:r w:rsidRPr="009A7A34"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  <w:t>Standard 1.1. Ustanova za obrazovanje odraslih uspostavila je učinkovit sustav upravljanja ustanovom.</w:t>
      </w:r>
      <w:bookmarkEnd w:id="5"/>
    </w:p>
    <w:p w14:paraId="203CF8D8" w14:textId="77777777" w:rsidR="009A7A34" w:rsidRPr="009A7A34" w:rsidRDefault="009A7A34" w:rsidP="009A7A34">
      <w:pPr>
        <w:spacing w:after="0" w:line="360" w:lineRule="auto"/>
        <w:rPr>
          <w:rFonts w:ascii="Calibri" w:eastAsia="Times New Roman" w:hAnsi="Calibri" w:cs="Times New Roman"/>
          <w:color w:val="4F81BD"/>
          <w:sz w:val="24"/>
          <w:szCs w:val="24"/>
        </w:rPr>
      </w:pPr>
    </w:p>
    <w:p w14:paraId="5E234345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Analiza</w:t>
      </w:r>
    </w:p>
    <w:p w14:paraId="09D88EE1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Dokazi</w:t>
      </w:r>
    </w:p>
    <w:p w14:paraId="53EDF4ED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libri" w:eastAsia="Times New Roman" w:hAnsi="Calibri" w:cs="Times New Roman"/>
          <w:color w:val="297FD5"/>
          <w:spacing w:val="15"/>
          <w:sz w:val="24"/>
          <w:szCs w:val="24"/>
        </w:rPr>
      </w:pPr>
    </w:p>
    <w:p w14:paraId="6ADA01DC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</w:pPr>
      <w:bookmarkStart w:id="6" w:name="_Toc66799834"/>
      <w:r w:rsidRPr="009A7A34"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  <w:t>Standard 1.2. Ustanova za obrazovanje odraslih uspostavila je učinkovit unutarnji sustav osiguravanja kvalitete koji je dio strateškog upravljanja.</w:t>
      </w:r>
      <w:bookmarkEnd w:id="6"/>
    </w:p>
    <w:p w14:paraId="488645FD" w14:textId="77777777" w:rsidR="009A7A34" w:rsidRPr="009A7A34" w:rsidRDefault="009A7A34" w:rsidP="009A7A34">
      <w:pPr>
        <w:spacing w:after="0" w:line="360" w:lineRule="auto"/>
        <w:rPr>
          <w:rFonts w:ascii="Calibri" w:eastAsia="Times New Roman" w:hAnsi="Calibri" w:cs="Times New Roman"/>
          <w:color w:val="4F81BD"/>
          <w:sz w:val="24"/>
          <w:szCs w:val="24"/>
        </w:rPr>
      </w:pPr>
      <w:bookmarkStart w:id="7" w:name="_Toc66799835"/>
    </w:p>
    <w:p w14:paraId="6237D87E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Analiza</w:t>
      </w:r>
    </w:p>
    <w:p w14:paraId="137954F5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Dokazi</w:t>
      </w:r>
    </w:p>
    <w:p w14:paraId="30BD0629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libri" w:eastAsia="Times New Roman" w:hAnsi="Calibri" w:cs="Times New Roman"/>
          <w:color w:val="297FD5"/>
          <w:spacing w:val="15"/>
          <w:sz w:val="24"/>
          <w:szCs w:val="24"/>
        </w:rPr>
      </w:pPr>
    </w:p>
    <w:p w14:paraId="5EA20D7D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</w:pPr>
      <w:r w:rsidRPr="009A7A34"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  <w:lastRenderedPageBreak/>
        <w:t>Standard 1.3. Ustanova za obrazovanje odraslih redovito provodi proces samovrednovanja i temeljem nalaza procesa samovrednovanja kontinuirano unaprjeđuje kvalitetu svih svojih aktivnosti.</w:t>
      </w:r>
      <w:bookmarkEnd w:id="7"/>
      <w:r w:rsidRPr="009A7A34"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  <w:t xml:space="preserve"> </w:t>
      </w:r>
    </w:p>
    <w:p w14:paraId="09EC4FE7" w14:textId="77777777" w:rsidR="009A7A34" w:rsidRPr="009A7A34" w:rsidRDefault="009A7A34" w:rsidP="009A7A34">
      <w:pPr>
        <w:spacing w:after="0" w:line="360" w:lineRule="auto"/>
        <w:rPr>
          <w:rFonts w:ascii="Calibri" w:eastAsia="Times New Roman" w:hAnsi="Calibri" w:cs="Times New Roman"/>
          <w:color w:val="4F81BD"/>
          <w:sz w:val="24"/>
          <w:szCs w:val="24"/>
        </w:rPr>
      </w:pPr>
      <w:bookmarkStart w:id="8" w:name="_Toc66799836"/>
    </w:p>
    <w:p w14:paraId="49C1FC14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Analiza</w:t>
      </w:r>
    </w:p>
    <w:p w14:paraId="31F056B8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Dokazi</w:t>
      </w:r>
    </w:p>
    <w:p w14:paraId="6C3BA74F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libri" w:eastAsia="Times New Roman" w:hAnsi="Calibri" w:cs="Times New Roman"/>
          <w:color w:val="297FD5"/>
          <w:spacing w:val="15"/>
          <w:sz w:val="24"/>
          <w:szCs w:val="24"/>
        </w:rPr>
      </w:pPr>
    </w:p>
    <w:p w14:paraId="478E7311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</w:pPr>
      <w:r w:rsidRPr="009A7A34"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  <w:t>Standard 1.4. Ustanova za obrazovanje odraslih redovito prikuplja i analizira podatke o svim svojim aktivnostima te dobivene analize koristi za daljnja unaprjeđenja.</w:t>
      </w:r>
      <w:bookmarkEnd w:id="8"/>
    </w:p>
    <w:p w14:paraId="3EE12646" w14:textId="77777777" w:rsidR="009A7A34" w:rsidRPr="009A7A34" w:rsidRDefault="009A7A34" w:rsidP="009A7A34">
      <w:pPr>
        <w:spacing w:after="0" w:line="360" w:lineRule="auto"/>
        <w:rPr>
          <w:rFonts w:ascii="Calibri" w:eastAsia="Times New Roman" w:hAnsi="Calibri" w:cs="Times New Roman"/>
          <w:color w:val="4F81BD"/>
          <w:sz w:val="24"/>
          <w:szCs w:val="24"/>
        </w:rPr>
      </w:pPr>
    </w:p>
    <w:p w14:paraId="5E860FC3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Analiza</w:t>
      </w:r>
    </w:p>
    <w:p w14:paraId="58179EDB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Dokazi</w:t>
      </w:r>
    </w:p>
    <w:p w14:paraId="1D360A6F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libri" w:eastAsia="Times New Roman" w:hAnsi="Calibri" w:cs="Times New Roman"/>
          <w:color w:val="297FD5"/>
          <w:spacing w:val="15"/>
          <w:sz w:val="24"/>
          <w:szCs w:val="24"/>
        </w:rPr>
      </w:pPr>
    </w:p>
    <w:p w14:paraId="3D3AF3C1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4F81BD"/>
        </w:rPr>
      </w:pPr>
    </w:p>
    <w:p w14:paraId="19A60C21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</w:pPr>
      <w:bookmarkStart w:id="9" w:name="_Toc66799837"/>
      <w:r w:rsidRPr="009A7A34"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  <w:t>Standard 1.5. Ustanova za obrazovanje odraslih vodi i čuva andragošku dokumentaciju i evidenciju te izdaje javne isprave u skladu s propisima.</w:t>
      </w:r>
      <w:bookmarkEnd w:id="9"/>
    </w:p>
    <w:p w14:paraId="122C1FBD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4F81BD"/>
          <w:sz w:val="24"/>
          <w:szCs w:val="24"/>
        </w:rPr>
      </w:pPr>
    </w:p>
    <w:p w14:paraId="41CA4FA8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Analiza</w:t>
      </w:r>
    </w:p>
    <w:p w14:paraId="095EAA24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Dokazi</w:t>
      </w:r>
    </w:p>
    <w:p w14:paraId="0FB1CCD8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297FD5"/>
          <w:spacing w:val="20"/>
          <w:sz w:val="24"/>
          <w:szCs w:val="24"/>
        </w:rPr>
      </w:pPr>
    </w:p>
    <w:p w14:paraId="330C42ED" w14:textId="77777777" w:rsidR="009A7A34" w:rsidRPr="009A7A34" w:rsidRDefault="009A7A34" w:rsidP="009A7A34">
      <w:pPr>
        <w:spacing w:after="0" w:line="360" w:lineRule="auto"/>
        <w:jc w:val="both"/>
        <w:rPr>
          <w:rFonts w:ascii="Calibri" w:eastAsia="Times New Roman" w:hAnsi="Calibri" w:cs="Times New Roman"/>
          <w:color w:val="4F81BD"/>
          <w:sz w:val="24"/>
          <w:szCs w:val="24"/>
        </w:rPr>
      </w:pPr>
    </w:p>
    <w:p w14:paraId="78704A5F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jc w:val="center"/>
        <w:outlineLvl w:val="0"/>
        <w:rPr>
          <w:rFonts w:ascii="Calibri" w:eastAsia="Times New Roman" w:hAnsi="Calibri" w:cs="Times New Roman"/>
          <w:b/>
          <w:bCs/>
          <w:i/>
          <w:iCs/>
          <w:caps/>
          <w:color w:val="297FD5"/>
          <w:spacing w:val="20"/>
          <w:sz w:val="28"/>
          <w:szCs w:val="28"/>
        </w:rPr>
      </w:pPr>
      <w:bookmarkStart w:id="10" w:name="_Toc66799838"/>
      <w:r w:rsidRPr="009A7A34">
        <w:rPr>
          <w:rFonts w:ascii="Calibri" w:eastAsia="Times New Roman" w:hAnsi="Calibri" w:cs="Times New Roman"/>
          <w:b/>
          <w:bCs/>
          <w:i/>
          <w:iCs/>
          <w:caps/>
          <w:color w:val="297FD5"/>
          <w:spacing w:val="20"/>
          <w:sz w:val="28"/>
          <w:szCs w:val="28"/>
        </w:rPr>
        <w:t>II. PODRUČJE KVALITETE: OBRAZOVNI PROGRAMI, UČENJE I POUČAVANJE</w:t>
      </w:r>
      <w:bookmarkEnd w:id="10"/>
    </w:p>
    <w:p w14:paraId="06E21B45" w14:textId="6AFB5122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</w:pPr>
      <w:bookmarkStart w:id="11" w:name="_Toc66799839"/>
      <w:r w:rsidRPr="009A7A34"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  <w:t>Standard 2.1 Obrazovni je program utemeljen na konceptu ishoda</w:t>
      </w:r>
      <w:bookmarkStart w:id="12" w:name="_Toc66799840"/>
      <w:bookmarkEnd w:id="11"/>
      <w:r w:rsidR="00095F12"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  <w:t xml:space="preserve"> učenja i usklađen s HKO-om</w:t>
      </w:r>
      <w:r w:rsidRPr="009A7A34"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  <w:t>.</w:t>
      </w:r>
    </w:p>
    <w:p w14:paraId="2B3CEA2E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4F81BD"/>
          <w:sz w:val="24"/>
          <w:szCs w:val="24"/>
        </w:rPr>
      </w:pPr>
    </w:p>
    <w:p w14:paraId="5AF09E75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Analiza</w:t>
      </w:r>
    </w:p>
    <w:p w14:paraId="5BFBCDBD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Dokazi</w:t>
      </w:r>
    </w:p>
    <w:p w14:paraId="6610A054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Times New Roman" w:hAnsi="Cambria" w:cs="Times New Roman"/>
          <w:color w:val="297FD5"/>
          <w:spacing w:val="15"/>
          <w:sz w:val="24"/>
          <w:szCs w:val="24"/>
        </w:rPr>
      </w:pPr>
    </w:p>
    <w:p w14:paraId="26E39A19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</w:pPr>
      <w:r w:rsidRPr="009A7A34"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  <w:t>Standard 2.2. Učenje i poučavanje usmjereno je na polaznika i u skladu je s predviđenim ishodima učenja.</w:t>
      </w:r>
      <w:bookmarkEnd w:id="12"/>
    </w:p>
    <w:p w14:paraId="049B73EC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4F81BD"/>
          <w:sz w:val="24"/>
          <w:szCs w:val="24"/>
        </w:rPr>
      </w:pPr>
      <w:bookmarkStart w:id="13" w:name="_Toc66799841"/>
    </w:p>
    <w:p w14:paraId="5ABAD91C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Analiza</w:t>
      </w:r>
    </w:p>
    <w:p w14:paraId="4D27DFBD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Dokazi</w:t>
      </w:r>
    </w:p>
    <w:p w14:paraId="0DBF23F7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</w:pPr>
    </w:p>
    <w:p w14:paraId="78D36716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</w:pPr>
      <w:r w:rsidRPr="009A7A34">
        <w:rPr>
          <w:rFonts w:ascii="Cambria" w:eastAsia="Times New Roman" w:hAnsi="Cambria" w:cs="Times New Roman"/>
          <w:b/>
          <w:color w:val="297FD5"/>
          <w:spacing w:val="15"/>
          <w:sz w:val="24"/>
          <w:szCs w:val="24"/>
        </w:rPr>
        <w:t>Standard 2.3. Ustanova za obrazovanje odraslih omogućava učenje temeljeno na radu i stjecanje praktičnih vještina (ako je primjenjivo).</w:t>
      </w:r>
      <w:bookmarkEnd w:id="13"/>
    </w:p>
    <w:p w14:paraId="6126A536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4F81BD"/>
          <w:sz w:val="24"/>
          <w:szCs w:val="24"/>
        </w:rPr>
      </w:pPr>
    </w:p>
    <w:p w14:paraId="229CE9F3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Analiza</w:t>
      </w:r>
    </w:p>
    <w:p w14:paraId="78C7E73D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Dokazi</w:t>
      </w:r>
    </w:p>
    <w:p w14:paraId="27FF18CE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297FD5"/>
          <w:spacing w:val="20"/>
          <w:sz w:val="24"/>
          <w:szCs w:val="24"/>
        </w:rPr>
      </w:pPr>
      <w:bookmarkStart w:id="14" w:name="_Toc66799842"/>
    </w:p>
    <w:p w14:paraId="0067643E" w14:textId="77777777" w:rsidR="009A7A34" w:rsidRPr="009A7A34" w:rsidRDefault="009A7A34" w:rsidP="009A7A34">
      <w:pPr>
        <w:spacing w:after="200" w:line="252" w:lineRule="auto"/>
        <w:jc w:val="both"/>
        <w:rPr>
          <w:rFonts w:ascii="Calibri" w:eastAsia="Times New Roman" w:hAnsi="Calibri" w:cs="Times New Roman"/>
          <w:color w:val="4F81BD"/>
          <w:sz w:val="24"/>
          <w:szCs w:val="24"/>
        </w:rPr>
      </w:pPr>
    </w:p>
    <w:p w14:paraId="197D43FE" w14:textId="77777777" w:rsidR="009A7A34" w:rsidRPr="009A7A34" w:rsidRDefault="009A7A34" w:rsidP="009A7A34">
      <w:pPr>
        <w:pBdr>
          <w:bottom w:val="thinThickSmallGap" w:sz="12" w:space="1" w:color="1E5E9F"/>
        </w:pBdr>
        <w:spacing w:before="400" w:after="200" w:line="252" w:lineRule="auto"/>
        <w:jc w:val="center"/>
        <w:outlineLvl w:val="0"/>
        <w:rPr>
          <w:rFonts w:ascii="Calibri" w:eastAsia="Times New Roman" w:hAnsi="Calibri" w:cs="Times New Roman"/>
          <w:b/>
          <w:bCs/>
          <w:i/>
          <w:iCs/>
          <w:caps/>
          <w:color w:val="297FD5"/>
          <w:spacing w:val="20"/>
          <w:sz w:val="28"/>
          <w:szCs w:val="28"/>
        </w:rPr>
      </w:pPr>
      <w:r w:rsidRPr="009A7A34">
        <w:rPr>
          <w:rFonts w:ascii="Calibri" w:eastAsia="Times New Roman" w:hAnsi="Calibri" w:cs="Times New Roman"/>
          <w:b/>
          <w:bCs/>
          <w:i/>
          <w:iCs/>
          <w:caps/>
          <w:color w:val="297FD5"/>
          <w:spacing w:val="20"/>
          <w:sz w:val="28"/>
          <w:szCs w:val="28"/>
        </w:rPr>
        <w:t>III. Područje kvalitete: Postignuća polaznika i briga o polaznicima</w:t>
      </w:r>
      <w:bookmarkEnd w:id="14"/>
    </w:p>
    <w:p w14:paraId="75A613DB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</w:pPr>
      <w:bookmarkStart w:id="15" w:name="_Toc66799843"/>
      <w:r w:rsidRPr="009A7A34"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  <w:t>Standard 3.1. Vrednovanje postignuća polaznika je objektivno i dosljedno te osigurava stjecanje predviđenih ishoda učenja.</w:t>
      </w:r>
      <w:bookmarkEnd w:id="15"/>
    </w:p>
    <w:p w14:paraId="7F54A3AF" w14:textId="77777777" w:rsidR="009A7A34" w:rsidRPr="009A7A34" w:rsidRDefault="009A7A34" w:rsidP="009A7A34">
      <w:pPr>
        <w:spacing w:after="0" w:line="360" w:lineRule="auto"/>
        <w:rPr>
          <w:rFonts w:ascii="Calibri" w:eastAsia="Times New Roman" w:hAnsi="Calibri" w:cs="Times New Roman"/>
          <w:color w:val="4F81BD"/>
          <w:sz w:val="24"/>
          <w:szCs w:val="24"/>
        </w:rPr>
      </w:pPr>
    </w:p>
    <w:p w14:paraId="6D186EFA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Analiza</w:t>
      </w:r>
    </w:p>
    <w:p w14:paraId="5D665724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Dokazi</w:t>
      </w:r>
    </w:p>
    <w:p w14:paraId="3A29F6B1" w14:textId="77777777" w:rsidR="009A7A34" w:rsidRPr="009A7A34" w:rsidRDefault="009A7A34" w:rsidP="009A7A34">
      <w:pPr>
        <w:spacing w:after="0" w:line="360" w:lineRule="auto"/>
        <w:rPr>
          <w:rFonts w:ascii="Calibri" w:eastAsia="Times New Roman" w:hAnsi="Calibri" w:cs="Times New Roman"/>
          <w:color w:val="297FD5"/>
        </w:rPr>
      </w:pPr>
    </w:p>
    <w:p w14:paraId="76E9AC61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</w:pPr>
      <w:bookmarkStart w:id="16" w:name="_Toc66799844"/>
      <w:r w:rsidRPr="009A7A34"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  <w:t>Standard 3.2. Ustanova za obrazovanje odraslih prati polaznike nakon završetka obrazovanja i u skladu s nalazima unaprjeđuje kvalitetu svog rada.</w:t>
      </w:r>
      <w:bookmarkEnd w:id="16"/>
    </w:p>
    <w:p w14:paraId="7D86FB66" w14:textId="77777777" w:rsidR="009A7A34" w:rsidRPr="009A7A34" w:rsidRDefault="009A7A34" w:rsidP="009A7A34">
      <w:pPr>
        <w:spacing w:after="0" w:line="360" w:lineRule="auto"/>
        <w:rPr>
          <w:rFonts w:ascii="Calibri" w:eastAsia="Times New Roman" w:hAnsi="Calibri" w:cs="Times New Roman"/>
          <w:color w:val="4F81BD"/>
          <w:sz w:val="24"/>
          <w:szCs w:val="24"/>
        </w:rPr>
      </w:pPr>
    </w:p>
    <w:p w14:paraId="3E676321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Analiza</w:t>
      </w:r>
    </w:p>
    <w:p w14:paraId="1F52B232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Dokazi</w:t>
      </w:r>
    </w:p>
    <w:p w14:paraId="428AED66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297FD5"/>
          <w:sz w:val="24"/>
          <w:szCs w:val="24"/>
        </w:rPr>
      </w:pPr>
    </w:p>
    <w:p w14:paraId="66C23599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</w:pPr>
      <w:bookmarkStart w:id="17" w:name="_Toc66799845"/>
      <w:r w:rsidRPr="009A7A34"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  <w:t>Standard 3.3. Ustanova za obrazovanje odraslih osigurava upis polaznika odgovarajućeg predznanja i motivacije, potiče uključivanje polaznika iz ranjivih i podzastupljenih skupina te vodi brigu o napredovanju polaznika.</w:t>
      </w:r>
      <w:bookmarkEnd w:id="17"/>
    </w:p>
    <w:p w14:paraId="438F1CBA" w14:textId="77777777" w:rsidR="009A7A34" w:rsidRPr="009A7A34" w:rsidRDefault="009A7A34" w:rsidP="009A7A34">
      <w:pPr>
        <w:spacing w:after="0" w:line="360" w:lineRule="auto"/>
        <w:rPr>
          <w:rFonts w:ascii="Calibri" w:eastAsia="Times New Roman" w:hAnsi="Calibri" w:cs="Times New Roman"/>
          <w:color w:val="4F81BD"/>
          <w:sz w:val="24"/>
          <w:szCs w:val="24"/>
        </w:rPr>
      </w:pPr>
    </w:p>
    <w:p w14:paraId="644DE5DB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lastRenderedPageBreak/>
        <w:t>Analiza</w:t>
      </w:r>
    </w:p>
    <w:p w14:paraId="1B77FE0B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Dokazi</w:t>
      </w:r>
    </w:p>
    <w:p w14:paraId="6559ACA8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297FD5"/>
          <w:sz w:val="24"/>
          <w:szCs w:val="24"/>
        </w:rPr>
      </w:pPr>
    </w:p>
    <w:p w14:paraId="3C419FDE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</w:pPr>
      <w:bookmarkStart w:id="18" w:name="_Toc66799846"/>
      <w:r w:rsidRPr="009A7A34"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  <w:t>Standard 3.4. Ustanova za obrazovanje odraslih ima odgovarajući sustav podrške polaznicima koji je prilagođen potrebama raznolike populacije polaznika.</w:t>
      </w:r>
      <w:bookmarkEnd w:id="18"/>
    </w:p>
    <w:p w14:paraId="3C9EE4A3" w14:textId="77777777" w:rsidR="009A7A34" w:rsidRPr="009A7A34" w:rsidRDefault="009A7A34" w:rsidP="009A7A34">
      <w:pPr>
        <w:spacing w:after="0" w:line="360" w:lineRule="auto"/>
        <w:rPr>
          <w:rFonts w:ascii="Calibri" w:eastAsia="Times New Roman" w:hAnsi="Calibri" w:cs="Times New Roman"/>
          <w:color w:val="4F81BD"/>
          <w:sz w:val="24"/>
          <w:szCs w:val="24"/>
        </w:rPr>
      </w:pPr>
      <w:bookmarkStart w:id="19" w:name="_Toc66799847"/>
    </w:p>
    <w:p w14:paraId="36B604A7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Analiza</w:t>
      </w:r>
    </w:p>
    <w:p w14:paraId="7FDD406C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Dokazi</w:t>
      </w:r>
    </w:p>
    <w:p w14:paraId="65FD738E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297FD5"/>
          <w:spacing w:val="20"/>
          <w:sz w:val="24"/>
          <w:szCs w:val="24"/>
        </w:rPr>
      </w:pPr>
    </w:p>
    <w:p w14:paraId="47470665" w14:textId="77777777" w:rsidR="009A7A34" w:rsidRPr="009A7A34" w:rsidRDefault="009A7A34" w:rsidP="009A7A34">
      <w:pPr>
        <w:spacing w:after="0" w:line="360" w:lineRule="auto"/>
        <w:rPr>
          <w:rFonts w:ascii="Calibri" w:eastAsia="Times New Roman" w:hAnsi="Calibri" w:cs="Times New Roman"/>
          <w:color w:val="297FD5"/>
          <w:sz w:val="24"/>
          <w:szCs w:val="24"/>
        </w:rPr>
      </w:pPr>
    </w:p>
    <w:p w14:paraId="0ACD3B8B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jc w:val="center"/>
        <w:outlineLvl w:val="0"/>
        <w:rPr>
          <w:rFonts w:ascii="Calibri" w:eastAsia="Times New Roman" w:hAnsi="Calibri" w:cs="Times New Roman"/>
          <w:b/>
          <w:bCs/>
          <w:i/>
          <w:iCs/>
          <w:caps/>
          <w:color w:val="297FD5"/>
          <w:spacing w:val="20"/>
          <w:sz w:val="28"/>
          <w:szCs w:val="28"/>
        </w:rPr>
      </w:pPr>
      <w:r w:rsidRPr="009A7A34">
        <w:rPr>
          <w:rFonts w:ascii="Calibri" w:eastAsia="Times New Roman" w:hAnsi="Calibri" w:cs="Times New Roman"/>
          <w:b/>
          <w:bCs/>
          <w:i/>
          <w:iCs/>
          <w:caps/>
          <w:color w:val="297FD5"/>
          <w:spacing w:val="20"/>
          <w:sz w:val="28"/>
          <w:szCs w:val="28"/>
        </w:rPr>
        <w:t>IV. područje kvalitete: Ljudski i materijalni resursi</w:t>
      </w:r>
      <w:bookmarkEnd w:id="19"/>
    </w:p>
    <w:p w14:paraId="7E71F7B8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contextualSpacing/>
        <w:jc w:val="both"/>
        <w:outlineLvl w:val="1"/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</w:pPr>
      <w:bookmarkStart w:id="20" w:name="_Toc66799848"/>
      <w:r w:rsidRPr="009A7A34"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  <w:t>Standard 4.1. Nastavnički kapaciteti zadovoljavajući su za kvalitetno izvođenje nastave i osiguravaju postizanje predviđenih ishoda učenja.</w:t>
      </w:r>
      <w:bookmarkEnd w:id="20"/>
    </w:p>
    <w:p w14:paraId="75393ED5" w14:textId="77777777" w:rsidR="009A7A34" w:rsidRPr="009A7A34" w:rsidRDefault="009A7A34" w:rsidP="009A7A34">
      <w:pPr>
        <w:spacing w:after="0" w:line="360" w:lineRule="auto"/>
        <w:rPr>
          <w:rFonts w:ascii="Calibri" w:eastAsia="Times New Roman" w:hAnsi="Calibri" w:cs="Times New Roman"/>
          <w:color w:val="4F81BD"/>
          <w:sz w:val="24"/>
          <w:szCs w:val="24"/>
        </w:rPr>
      </w:pPr>
      <w:bookmarkStart w:id="21" w:name="_Toc66799849"/>
    </w:p>
    <w:p w14:paraId="302C6E49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Analiza</w:t>
      </w:r>
    </w:p>
    <w:p w14:paraId="338FB891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Dokazi</w:t>
      </w:r>
    </w:p>
    <w:p w14:paraId="2BA8688C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contextualSpacing/>
        <w:jc w:val="both"/>
        <w:outlineLvl w:val="1"/>
        <w:rPr>
          <w:rFonts w:ascii="Calibri" w:eastAsia="Times New Roman" w:hAnsi="Calibri" w:cs="Times New Roman"/>
          <w:bCs/>
          <w:iCs/>
          <w:caps/>
          <w:color w:val="297FD5"/>
          <w:spacing w:val="20"/>
          <w:sz w:val="24"/>
          <w:szCs w:val="24"/>
        </w:rPr>
      </w:pPr>
    </w:p>
    <w:p w14:paraId="76BF7C7A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contextualSpacing/>
        <w:jc w:val="both"/>
        <w:outlineLvl w:val="1"/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</w:pPr>
      <w:r w:rsidRPr="009A7A34"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  <w:t>Standard 4.2. Prostorni i materijalni uvjeti zadovoljavajući su za izvođenje programa obrazovanja odraslih i osiguravaju postizanje predviđenih ishoda učenja.</w:t>
      </w:r>
      <w:bookmarkEnd w:id="21"/>
    </w:p>
    <w:p w14:paraId="2B174850" w14:textId="77777777" w:rsidR="009A7A34" w:rsidRPr="009A7A34" w:rsidRDefault="009A7A34" w:rsidP="009A7A34">
      <w:pPr>
        <w:spacing w:after="0" w:line="360" w:lineRule="auto"/>
        <w:rPr>
          <w:rFonts w:ascii="Calibri" w:eastAsia="Times New Roman" w:hAnsi="Calibri" w:cs="Times New Roman"/>
          <w:color w:val="4F81BD"/>
          <w:sz w:val="24"/>
          <w:szCs w:val="24"/>
        </w:rPr>
      </w:pPr>
      <w:bookmarkStart w:id="22" w:name="_Toc66799850"/>
    </w:p>
    <w:p w14:paraId="373DDF6F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Analiza</w:t>
      </w:r>
    </w:p>
    <w:p w14:paraId="5BB16BE8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Dokazi</w:t>
      </w:r>
    </w:p>
    <w:p w14:paraId="4085812B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contextualSpacing/>
        <w:jc w:val="both"/>
        <w:outlineLvl w:val="1"/>
        <w:rPr>
          <w:rFonts w:ascii="Calibri" w:eastAsia="Times New Roman" w:hAnsi="Calibri" w:cs="Times New Roman"/>
          <w:bCs/>
          <w:iCs/>
          <w:caps/>
          <w:color w:val="297FD5"/>
          <w:spacing w:val="20"/>
          <w:sz w:val="24"/>
          <w:szCs w:val="24"/>
        </w:rPr>
      </w:pPr>
    </w:p>
    <w:p w14:paraId="5CB918F3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</w:pPr>
      <w:r w:rsidRPr="009A7A34"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  <w:t>Standard 4.3. Ustanova za obrazovanje odraslih upravlja financijama na održiv i razvojno usmjeren način.</w:t>
      </w:r>
      <w:bookmarkEnd w:id="22"/>
    </w:p>
    <w:p w14:paraId="43FF034F" w14:textId="77777777" w:rsidR="009A7A34" w:rsidRPr="009A7A34" w:rsidRDefault="009A7A34" w:rsidP="009A7A34">
      <w:pPr>
        <w:spacing w:after="0" w:line="360" w:lineRule="auto"/>
        <w:rPr>
          <w:rFonts w:ascii="Calibri" w:eastAsia="Times New Roman" w:hAnsi="Calibri" w:cs="Times New Roman"/>
          <w:color w:val="4F81BD"/>
          <w:sz w:val="24"/>
          <w:szCs w:val="24"/>
        </w:rPr>
      </w:pPr>
    </w:p>
    <w:p w14:paraId="292ED028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Analiza</w:t>
      </w:r>
    </w:p>
    <w:p w14:paraId="03F45BF0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Dokazi</w:t>
      </w:r>
    </w:p>
    <w:p w14:paraId="5077ABA7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libri" w:eastAsia="Times New Roman" w:hAnsi="Calibri" w:cs="Times New Roman"/>
          <w:bCs/>
          <w:iCs/>
          <w:caps/>
          <w:color w:val="297FD5"/>
          <w:spacing w:val="20"/>
          <w:sz w:val="24"/>
          <w:szCs w:val="24"/>
        </w:rPr>
      </w:pPr>
      <w:bookmarkStart w:id="23" w:name="_Toc66799851"/>
    </w:p>
    <w:p w14:paraId="1A00F89E" w14:textId="77777777" w:rsidR="009A7A34" w:rsidRPr="009A7A34" w:rsidRDefault="009A7A34" w:rsidP="009A7A34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24E7BCC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jc w:val="center"/>
        <w:outlineLvl w:val="0"/>
        <w:rPr>
          <w:rFonts w:ascii="Calibri" w:eastAsia="Times New Roman" w:hAnsi="Calibri" w:cs="Times New Roman"/>
          <w:b/>
          <w:bCs/>
          <w:i/>
          <w:iCs/>
          <w:caps/>
          <w:color w:val="297FD5"/>
          <w:spacing w:val="20"/>
          <w:sz w:val="28"/>
          <w:szCs w:val="28"/>
        </w:rPr>
      </w:pPr>
      <w:r w:rsidRPr="009A7A34">
        <w:rPr>
          <w:rFonts w:ascii="Calibri" w:eastAsia="Times New Roman" w:hAnsi="Calibri" w:cs="Times New Roman"/>
          <w:b/>
          <w:bCs/>
          <w:i/>
          <w:iCs/>
          <w:caps/>
          <w:color w:val="297FD5"/>
          <w:spacing w:val="20"/>
          <w:sz w:val="28"/>
          <w:szCs w:val="28"/>
        </w:rPr>
        <w:lastRenderedPageBreak/>
        <w:t>V. područje kvalitete: Informiranje javnosti, komunikacija i suradnja, integritet i etičnost</w:t>
      </w:r>
      <w:bookmarkEnd w:id="23"/>
    </w:p>
    <w:p w14:paraId="07F01602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</w:pPr>
      <w:bookmarkStart w:id="24" w:name="_Toc66799852"/>
    </w:p>
    <w:p w14:paraId="2088F67D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</w:pPr>
      <w:r w:rsidRPr="009A7A34"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  <w:t>Standard 5.1. Ustanova za obrazovanje odraslih objavljuje informacije o svim svojim aktivnostima te aktivno promovira ulogu i važnost obrazovanja odraslih.</w:t>
      </w:r>
      <w:bookmarkEnd w:id="24"/>
    </w:p>
    <w:p w14:paraId="4164CFE2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4F81BD"/>
          <w:sz w:val="24"/>
          <w:szCs w:val="24"/>
        </w:rPr>
      </w:pPr>
    </w:p>
    <w:p w14:paraId="5387ECF6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Analiza</w:t>
      </w:r>
    </w:p>
    <w:p w14:paraId="209A8DBC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Dokazi</w:t>
      </w:r>
    </w:p>
    <w:p w14:paraId="643C1C24" w14:textId="77777777" w:rsidR="009A7A34" w:rsidRPr="009A7A34" w:rsidRDefault="009A7A34" w:rsidP="009A7A34">
      <w:pPr>
        <w:pBdr>
          <w:bottom w:val="single" w:sz="4" w:space="1" w:color="143E69"/>
        </w:pBdr>
        <w:tabs>
          <w:tab w:val="left" w:pos="2145"/>
        </w:tabs>
        <w:spacing w:after="0" w:line="360" w:lineRule="auto"/>
        <w:jc w:val="both"/>
        <w:outlineLvl w:val="1"/>
        <w:rPr>
          <w:rFonts w:ascii="Calibri" w:eastAsia="Times New Roman" w:hAnsi="Calibri" w:cs="Times New Roman"/>
          <w:color w:val="297FD5"/>
          <w:spacing w:val="15"/>
          <w:sz w:val="24"/>
          <w:szCs w:val="24"/>
        </w:rPr>
      </w:pPr>
    </w:p>
    <w:p w14:paraId="71108FC7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</w:pPr>
      <w:bookmarkStart w:id="25" w:name="_Toc66799853"/>
      <w:r w:rsidRPr="009A7A34"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  <w:t>Standard 5.2. Ustanova za obrazovanje odraslih aktivno surađuje s drugim ustanovama i organizacijama te potiče mobilnost i internacionalizaciju, prijenos znanja i inovativnost.</w:t>
      </w:r>
      <w:bookmarkEnd w:id="25"/>
    </w:p>
    <w:p w14:paraId="2368CB6B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4F81BD"/>
          <w:sz w:val="24"/>
          <w:szCs w:val="24"/>
        </w:rPr>
      </w:pPr>
      <w:bookmarkStart w:id="26" w:name="_Toc66799854"/>
    </w:p>
    <w:p w14:paraId="065080BF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Analiza</w:t>
      </w:r>
    </w:p>
    <w:p w14:paraId="5967CDB1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Dokazi</w:t>
      </w:r>
    </w:p>
    <w:p w14:paraId="7E4AE2E1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contextualSpacing/>
        <w:jc w:val="both"/>
        <w:outlineLvl w:val="1"/>
        <w:rPr>
          <w:rFonts w:ascii="Calibri" w:eastAsia="Times New Roman" w:hAnsi="Calibri" w:cs="Times New Roman"/>
          <w:bCs/>
          <w:iCs/>
          <w:caps/>
          <w:color w:val="297FD5"/>
          <w:spacing w:val="20"/>
          <w:sz w:val="24"/>
          <w:szCs w:val="24"/>
        </w:rPr>
      </w:pPr>
    </w:p>
    <w:p w14:paraId="19EEBAF1" w14:textId="77777777" w:rsidR="009A7A34" w:rsidRPr="009A7A34" w:rsidRDefault="009A7A34" w:rsidP="009A7A34">
      <w:pPr>
        <w:pBdr>
          <w:bottom w:val="single" w:sz="4" w:space="1" w:color="143E69"/>
        </w:pBdr>
        <w:spacing w:after="0" w:line="360" w:lineRule="auto"/>
        <w:jc w:val="both"/>
        <w:outlineLvl w:val="1"/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</w:pPr>
      <w:r w:rsidRPr="009A7A34">
        <w:rPr>
          <w:rFonts w:ascii="Cambria" w:eastAsia="Calibri" w:hAnsi="Cambria" w:cs="Times New Roman"/>
          <w:b/>
          <w:color w:val="297FD5"/>
          <w:spacing w:val="15"/>
          <w:sz w:val="24"/>
          <w:szCs w:val="24"/>
        </w:rPr>
        <w:t>Standard 5.3. Ustanova za obrazovanje odraslih je razvila mehanizme za očuvanje integriteta, prevenciju i sankcioniranje svih oblika neetičnog ponašanja.</w:t>
      </w:r>
      <w:bookmarkEnd w:id="26"/>
    </w:p>
    <w:p w14:paraId="768663EC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color w:val="4F81BD"/>
          <w:sz w:val="24"/>
          <w:szCs w:val="24"/>
        </w:rPr>
      </w:pPr>
    </w:p>
    <w:p w14:paraId="1CB453AA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Analiza</w:t>
      </w:r>
    </w:p>
    <w:p w14:paraId="4CFA6F35" w14:textId="77777777" w:rsidR="009A7A34" w:rsidRPr="009A7A34" w:rsidRDefault="009A7A34" w:rsidP="009A7A34">
      <w:pPr>
        <w:spacing w:after="0" w:line="360" w:lineRule="auto"/>
        <w:rPr>
          <w:rFonts w:ascii="Cambria" w:eastAsia="Times New Roman" w:hAnsi="Cambria" w:cs="Times New Roman"/>
          <w:i/>
          <w:color w:val="C00000"/>
          <w:sz w:val="24"/>
          <w:szCs w:val="24"/>
        </w:rPr>
      </w:pPr>
      <w:r w:rsidRPr="009A7A34">
        <w:rPr>
          <w:rFonts w:ascii="Cambria" w:eastAsia="Times New Roman" w:hAnsi="Cambria" w:cs="Times New Roman"/>
          <w:i/>
          <w:color w:val="C00000"/>
          <w:sz w:val="24"/>
          <w:szCs w:val="24"/>
        </w:rPr>
        <w:t>Dokazi</w:t>
      </w:r>
    </w:p>
    <w:p w14:paraId="3E8924E9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mbria" w:eastAsia="Times New Roman" w:hAnsi="Cambria" w:cs="Times New Roman"/>
          <w:bCs/>
          <w:iCs/>
          <w:caps/>
          <w:color w:val="297FD5"/>
          <w:spacing w:val="20"/>
          <w:sz w:val="24"/>
          <w:szCs w:val="24"/>
        </w:rPr>
      </w:pPr>
    </w:p>
    <w:p w14:paraId="2E59E4A0" w14:textId="77777777" w:rsidR="009A7A34" w:rsidRPr="009A7A34" w:rsidRDefault="009A7A34" w:rsidP="009A7A34">
      <w:pPr>
        <w:spacing w:after="200" w:line="252" w:lineRule="auto"/>
        <w:jc w:val="both"/>
        <w:rPr>
          <w:rFonts w:ascii="Cambria" w:eastAsia="Times New Roman" w:hAnsi="Cambria" w:cs="Times New Roman"/>
          <w:color w:val="297FD5"/>
          <w:sz w:val="24"/>
          <w:szCs w:val="24"/>
        </w:rPr>
      </w:pPr>
    </w:p>
    <w:p w14:paraId="49A489C5" w14:textId="77777777" w:rsidR="009A7A34" w:rsidRPr="009A7A34" w:rsidRDefault="009A7A34" w:rsidP="009A7A34">
      <w:pPr>
        <w:pBdr>
          <w:bottom w:val="thinThickSmallGap" w:sz="12" w:space="1" w:color="1E5E9F"/>
        </w:pBdr>
        <w:spacing w:before="400" w:after="200" w:line="252" w:lineRule="auto"/>
        <w:jc w:val="center"/>
        <w:outlineLvl w:val="0"/>
        <w:rPr>
          <w:rFonts w:ascii="Calibri" w:eastAsia="Times New Roman" w:hAnsi="Calibri" w:cs="Times New Roman"/>
          <w:b/>
          <w:bCs/>
          <w:i/>
          <w:iCs/>
          <w:caps/>
          <w:color w:val="297FD5"/>
          <w:spacing w:val="20"/>
          <w:sz w:val="28"/>
          <w:szCs w:val="28"/>
        </w:rPr>
      </w:pPr>
      <w:bookmarkStart w:id="27" w:name="_Toc66799855"/>
      <w:r w:rsidRPr="009A7A34">
        <w:rPr>
          <w:rFonts w:ascii="Calibri" w:eastAsia="Times New Roman" w:hAnsi="Calibri" w:cs="Times New Roman"/>
          <w:b/>
          <w:bCs/>
          <w:i/>
          <w:iCs/>
          <w:caps/>
          <w:color w:val="297FD5"/>
          <w:spacing w:val="20"/>
          <w:sz w:val="28"/>
          <w:szCs w:val="28"/>
        </w:rPr>
        <w:t>prilozi</w:t>
      </w:r>
      <w:bookmarkEnd w:id="27"/>
    </w:p>
    <w:p w14:paraId="48461485" w14:textId="77777777" w:rsidR="009A7A34" w:rsidRPr="009A7A34" w:rsidRDefault="009A7A34" w:rsidP="009A7A34">
      <w:pPr>
        <w:spacing w:after="0" w:line="360" w:lineRule="auto"/>
        <w:jc w:val="both"/>
        <w:rPr>
          <w:rFonts w:ascii="Cambria" w:eastAsia="Times New Roman" w:hAnsi="Cambria" w:cs="Times New Roman"/>
          <w:color w:val="297FD5"/>
          <w:sz w:val="24"/>
          <w:szCs w:val="24"/>
        </w:rPr>
      </w:pPr>
    </w:p>
    <w:p w14:paraId="438E16DF" w14:textId="77777777" w:rsidR="009A7A34" w:rsidRPr="009A7A34" w:rsidRDefault="009A7A34" w:rsidP="009A7A34">
      <w:pPr>
        <w:pBdr>
          <w:bottom w:val="thinThickSmallGap" w:sz="12" w:space="1" w:color="1E5E9F"/>
        </w:pBdr>
        <w:spacing w:after="0" w:line="360" w:lineRule="auto"/>
        <w:outlineLvl w:val="0"/>
        <w:rPr>
          <w:rFonts w:ascii="Cambria" w:eastAsia="Times New Roman" w:hAnsi="Cambria" w:cs="Times New Roman"/>
          <w:bCs/>
          <w:iCs/>
          <w:caps/>
          <w:color w:val="297FD5"/>
          <w:spacing w:val="20"/>
          <w:sz w:val="24"/>
          <w:szCs w:val="24"/>
        </w:rPr>
      </w:pPr>
    </w:p>
    <w:p w14:paraId="3D1039B6" w14:textId="77777777" w:rsidR="00AE6BBC" w:rsidRDefault="00AE6BBC"/>
    <w:sectPr w:rsidR="00AE6BBC" w:rsidSect="00521642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1149" w14:textId="77777777" w:rsidR="00607FFA" w:rsidRDefault="00607FFA" w:rsidP="00607FFA">
      <w:pPr>
        <w:spacing w:after="0" w:line="240" w:lineRule="auto"/>
      </w:pPr>
      <w:r>
        <w:separator/>
      </w:r>
    </w:p>
  </w:endnote>
  <w:endnote w:type="continuationSeparator" w:id="0">
    <w:p w14:paraId="146524FD" w14:textId="77777777" w:rsidR="00607FFA" w:rsidRDefault="00607FFA" w:rsidP="0060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2229538"/>
      <w:docPartObj>
        <w:docPartGallery w:val="Page Numbers (Bottom of Page)"/>
        <w:docPartUnique/>
      </w:docPartObj>
    </w:sdtPr>
    <w:sdtEndPr/>
    <w:sdtContent>
      <w:p w14:paraId="2963419D" w14:textId="207C83F9" w:rsidR="00607FFA" w:rsidRDefault="00607FF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BF358F" w14:textId="77777777" w:rsidR="00607FFA" w:rsidRDefault="00607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7139" w14:textId="77777777" w:rsidR="00607FFA" w:rsidRDefault="00607FFA" w:rsidP="00607FFA">
      <w:pPr>
        <w:spacing w:after="0" w:line="240" w:lineRule="auto"/>
      </w:pPr>
      <w:r>
        <w:separator/>
      </w:r>
    </w:p>
  </w:footnote>
  <w:footnote w:type="continuationSeparator" w:id="0">
    <w:p w14:paraId="59450195" w14:textId="77777777" w:rsidR="00607FFA" w:rsidRDefault="00607FFA" w:rsidP="00607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25"/>
    <w:rsid w:val="00095F12"/>
    <w:rsid w:val="003D5211"/>
    <w:rsid w:val="004C1D9B"/>
    <w:rsid w:val="00521642"/>
    <w:rsid w:val="00607FFA"/>
    <w:rsid w:val="008245E5"/>
    <w:rsid w:val="009A7A34"/>
    <w:rsid w:val="00A77F25"/>
    <w:rsid w:val="00AE6BBC"/>
    <w:rsid w:val="00C57792"/>
    <w:rsid w:val="00DA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2BE1"/>
  <w15:chartTrackingRefBased/>
  <w15:docId w15:val="{53ED901E-D721-4D3A-93C0-0E533283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FFA"/>
  </w:style>
  <w:style w:type="paragraph" w:styleId="Footer">
    <w:name w:val="footer"/>
    <w:basedOn w:val="Normal"/>
    <w:link w:val="FooterChar"/>
    <w:uiPriority w:val="99"/>
    <w:unhideWhenUsed/>
    <w:rsid w:val="00607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1309</Words>
  <Characters>7466</Characters>
  <Application>Microsoft Office Word</Application>
  <DocSecurity>4</DocSecurity>
  <Lines>62</Lines>
  <Paragraphs>17</Paragraphs>
  <ScaleCrop>false</ScaleCrop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Kovačević</dc:creator>
  <cp:keywords/>
  <dc:description/>
  <cp:lastModifiedBy>Sandra Petek</cp:lastModifiedBy>
  <cp:revision>2</cp:revision>
  <cp:lastPrinted>2024-02-02T12:31:00Z</cp:lastPrinted>
  <dcterms:created xsi:type="dcterms:W3CDTF">2024-02-05T12:10:00Z</dcterms:created>
  <dcterms:modified xsi:type="dcterms:W3CDTF">2024-02-05T12:10:00Z</dcterms:modified>
</cp:coreProperties>
</file>