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5B" w:rsidRPr="0010279F" w:rsidRDefault="003C445B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t>Obrazovni sektor: Promet i logistika</w:t>
      </w:r>
    </w:p>
    <w:p w:rsidR="003C445B" w:rsidRPr="0010279F" w:rsidRDefault="003C445B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t xml:space="preserve">Kvalifikacija/zanimanje: </w:t>
      </w:r>
      <w:r w:rsidR="007D3D28" w:rsidRPr="0010279F">
        <w:rPr>
          <w:rFonts w:ascii="Verdana" w:hAnsi="Verdana" w:cstheme="majorBidi"/>
          <w:b/>
        </w:rPr>
        <w:t>T</w:t>
      </w:r>
      <w:r w:rsidR="0070691C" w:rsidRPr="0010279F">
        <w:rPr>
          <w:rFonts w:ascii="Verdana" w:hAnsi="Verdana" w:cstheme="majorBidi"/>
          <w:b/>
        </w:rPr>
        <w:t>ehničar željeznički promet</w:t>
      </w:r>
    </w:p>
    <w:p w:rsidR="003C445B" w:rsidRPr="0010279F" w:rsidRDefault="003C445B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t>Naziv nastavnog predm</w:t>
      </w:r>
      <w:r w:rsidR="008D2006" w:rsidRPr="0010279F">
        <w:rPr>
          <w:rFonts w:ascii="Verdana" w:hAnsi="Verdana" w:cstheme="majorBidi"/>
          <w:b/>
        </w:rPr>
        <w:t xml:space="preserve">eta: </w:t>
      </w:r>
      <w:r w:rsidR="0070691C" w:rsidRPr="0010279F">
        <w:rPr>
          <w:rFonts w:ascii="Verdana" w:hAnsi="Verdana" w:cstheme="majorBidi"/>
          <w:b/>
        </w:rPr>
        <w:t>Tehnologija željezničkog prometa</w:t>
      </w:r>
    </w:p>
    <w:p w:rsidR="003C445B" w:rsidRPr="0010279F" w:rsidRDefault="003C445B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t xml:space="preserve">Razred: </w:t>
      </w:r>
      <w:r w:rsidR="0070691C" w:rsidRPr="0010279F">
        <w:rPr>
          <w:rFonts w:ascii="Verdana" w:hAnsi="Verdana" w:cstheme="majorBidi"/>
          <w:b/>
        </w:rPr>
        <w:t>drugi</w:t>
      </w:r>
      <w:r w:rsidR="00404746" w:rsidRPr="0010279F">
        <w:rPr>
          <w:rFonts w:ascii="Verdana" w:hAnsi="Verdana" w:cstheme="majorBidi"/>
          <w:b/>
        </w:rPr>
        <w:t xml:space="preserve"> </w:t>
      </w:r>
      <w:r w:rsidRPr="0010279F">
        <w:rPr>
          <w:rFonts w:ascii="Verdana" w:hAnsi="Verdana" w:cstheme="majorBidi"/>
          <w:b/>
        </w:rPr>
        <w:t xml:space="preserve"> (</w:t>
      </w:r>
      <w:r w:rsidR="0070691C" w:rsidRPr="0010279F">
        <w:rPr>
          <w:rFonts w:ascii="Verdana" w:hAnsi="Verdana" w:cstheme="majorBidi"/>
          <w:b/>
        </w:rPr>
        <w:t>2</w:t>
      </w:r>
      <w:r w:rsidRPr="0010279F">
        <w:rPr>
          <w:rFonts w:ascii="Verdana" w:hAnsi="Verdana" w:cstheme="majorBidi"/>
          <w:b/>
        </w:rPr>
        <w:t>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63017F" w:rsidRPr="00E920F5" w:rsidTr="007D3D28">
        <w:tc>
          <w:tcPr>
            <w:tcW w:w="1932" w:type="dxa"/>
          </w:tcPr>
          <w:p w:rsidR="0063017F" w:rsidRPr="00E920F5" w:rsidRDefault="0063017F" w:rsidP="00E920F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63017F" w:rsidRPr="00E920F5" w:rsidRDefault="0063017F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63017F" w:rsidRPr="00E920F5" w:rsidRDefault="0063017F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63017F" w:rsidRPr="00E920F5" w:rsidRDefault="007D3D28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63017F" w:rsidRPr="00E920F5" w:rsidRDefault="0063017F" w:rsidP="00E920F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E42B39" w:rsidRPr="00E920F5" w:rsidRDefault="00E42B39" w:rsidP="00E920F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63017F" w:rsidRPr="00E920F5" w:rsidRDefault="0063017F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E3631D" w:rsidRPr="00E920F5" w:rsidTr="007D3D28">
        <w:trPr>
          <w:trHeight w:val="385"/>
        </w:trPr>
        <w:tc>
          <w:tcPr>
            <w:tcW w:w="1932" w:type="dxa"/>
          </w:tcPr>
          <w:p w:rsidR="00E3631D" w:rsidRPr="00E920F5" w:rsidRDefault="00E3631D" w:rsidP="00E920F5">
            <w:pPr>
              <w:pStyle w:val="Tijeloteksta"/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 xml:space="preserve">Izvršno osoblje u željezničkom prometu              </w:t>
            </w:r>
          </w:p>
        </w:tc>
        <w:tc>
          <w:tcPr>
            <w:tcW w:w="2792" w:type="dxa"/>
          </w:tcPr>
          <w:p w:rsidR="00E3631D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-o</w:t>
            </w:r>
            <w:r w:rsidR="00E3631D" w:rsidRPr="00E920F5">
              <w:rPr>
                <w:rFonts w:ascii="Verdana" w:hAnsi="Verdana"/>
                <w:sz w:val="20"/>
                <w:szCs w:val="20"/>
              </w:rPr>
              <w:t>bjasniti značaj i važnost pojedinih radnih mjesta u izvršnoj službi</w:t>
            </w:r>
          </w:p>
          <w:p w:rsidR="00E3631D" w:rsidRPr="00E920F5" w:rsidRDefault="00E3631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primijeniti propise u željezničkom prometu</w:t>
            </w:r>
          </w:p>
        </w:tc>
        <w:tc>
          <w:tcPr>
            <w:tcW w:w="3463" w:type="dxa"/>
          </w:tcPr>
          <w:p w:rsidR="00E3631D" w:rsidRPr="00E920F5" w:rsidRDefault="00E3631D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 izvršni poslovi i izvršno osoblje</w:t>
            </w:r>
          </w:p>
          <w:p w:rsidR="00E3631D" w:rsidRPr="00E920F5" w:rsidRDefault="00E3631D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 propisi u željezničkom prometu</w:t>
            </w:r>
          </w:p>
          <w:p w:rsidR="00E3631D" w:rsidRPr="00E920F5" w:rsidRDefault="00E3631D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 xml:space="preserve">-  zdravstvena sposobnost i stručna osposobljenost </w:t>
            </w:r>
            <w:proofErr w:type="spellStart"/>
            <w:r w:rsidRPr="00E920F5">
              <w:rPr>
                <w:rFonts w:ascii="Verdana" w:hAnsi="Verdana"/>
              </w:rPr>
              <w:t>želj</w:t>
            </w:r>
            <w:proofErr w:type="spellEnd"/>
            <w:r w:rsidRPr="00E920F5">
              <w:rPr>
                <w:rFonts w:ascii="Verdana" w:hAnsi="Verdana"/>
              </w:rPr>
              <w:t xml:space="preserve">. radnika </w:t>
            </w:r>
          </w:p>
          <w:p w:rsidR="00E3631D" w:rsidRPr="00E920F5" w:rsidRDefault="00E3631D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 xml:space="preserve">- službena odjeća i ponašanje </w:t>
            </w:r>
            <w:proofErr w:type="spellStart"/>
            <w:r w:rsidRPr="00E920F5">
              <w:rPr>
                <w:rFonts w:ascii="Verdana" w:hAnsi="Verdana"/>
              </w:rPr>
              <w:t>želj</w:t>
            </w:r>
            <w:proofErr w:type="spellEnd"/>
            <w:r w:rsidRPr="00E920F5">
              <w:rPr>
                <w:rFonts w:ascii="Verdana" w:hAnsi="Verdana"/>
              </w:rPr>
              <w:t>. radnika</w:t>
            </w:r>
          </w:p>
          <w:p w:rsidR="00E3631D" w:rsidRPr="00E920F5" w:rsidRDefault="00E3631D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 prijem i predaja službe</w:t>
            </w:r>
          </w:p>
        </w:tc>
        <w:tc>
          <w:tcPr>
            <w:tcW w:w="2100" w:type="dxa"/>
          </w:tcPr>
          <w:p w:rsidR="00E3631D" w:rsidRPr="00E920F5" w:rsidRDefault="00E3631D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s radnim mjestima izvršne službe</w:t>
            </w:r>
          </w:p>
        </w:tc>
        <w:tc>
          <w:tcPr>
            <w:tcW w:w="3705" w:type="dxa"/>
          </w:tcPr>
          <w:p w:rsidR="00E3631D" w:rsidRPr="00E920F5" w:rsidRDefault="00E3631D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E3631D" w:rsidRPr="00E920F5" w:rsidRDefault="00E3631D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E3631D" w:rsidRPr="00E920F5" w:rsidTr="007D3D28">
        <w:trPr>
          <w:trHeight w:val="385"/>
        </w:trPr>
        <w:tc>
          <w:tcPr>
            <w:tcW w:w="1932" w:type="dxa"/>
          </w:tcPr>
          <w:p w:rsidR="00E3631D" w:rsidRPr="00E920F5" w:rsidRDefault="00E3631D" w:rsidP="00E920F5">
            <w:pPr>
              <w:pStyle w:val="Tijeloteksta"/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 xml:space="preserve">Objekti, postrojenja i uređaji za izvršenje </w:t>
            </w:r>
            <w:proofErr w:type="spellStart"/>
            <w:r w:rsidRPr="00E920F5">
              <w:rPr>
                <w:rFonts w:ascii="Verdana" w:hAnsi="Verdana"/>
                <w:b/>
              </w:rPr>
              <w:t>želj</w:t>
            </w:r>
            <w:proofErr w:type="spellEnd"/>
            <w:r w:rsidRPr="00E920F5">
              <w:rPr>
                <w:rFonts w:ascii="Verdana" w:hAnsi="Verdana"/>
                <w:b/>
              </w:rPr>
              <w:t>. prometa</w:t>
            </w:r>
          </w:p>
        </w:tc>
        <w:tc>
          <w:tcPr>
            <w:tcW w:w="2792" w:type="dxa"/>
          </w:tcPr>
          <w:p w:rsidR="00E3631D" w:rsidRPr="00E920F5" w:rsidRDefault="00E3631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 -prepoznati vrste pruga i kolosijeka</w:t>
            </w:r>
          </w:p>
          <w:p w:rsidR="00E3631D" w:rsidRPr="00E920F5" w:rsidRDefault="00E3631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-razlikovati strane kolosijeka i pruge</w:t>
            </w:r>
          </w:p>
          <w:p w:rsidR="00E3631D" w:rsidRPr="00E920F5" w:rsidRDefault="00E3631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-nabrojiti pružne oznake 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-objasniti vrste skretnica</w:t>
            </w:r>
          </w:p>
          <w:p w:rsidR="00E3631D" w:rsidRPr="00E920F5" w:rsidRDefault="00E3631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-objasniti </w:t>
            </w:r>
            <w:proofErr w:type="spellStart"/>
            <w:r w:rsidRPr="00E920F5">
              <w:rPr>
                <w:rFonts w:ascii="Verdana" w:hAnsi="Verdana"/>
                <w:sz w:val="20"/>
                <w:szCs w:val="20"/>
              </w:rPr>
              <w:t>ss</w:t>
            </w:r>
            <w:proofErr w:type="spellEnd"/>
            <w:r w:rsidR="00C63D26" w:rsidRPr="00E920F5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="00C63D26" w:rsidRPr="00E920F5">
              <w:rPr>
                <w:rFonts w:ascii="Verdana" w:hAnsi="Verdana"/>
                <w:sz w:val="20"/>
                <w:szCs w:val="20"/>
              </w:rPr>
              <w:t>tk</w:t>
            </w:r>
            <w:proofErr w:type="spellEnd"/>
            <w:r w:rsidR="00C63D26" w:rsidRPr="00E920F5">
              <w:rPr>
                <w:rFonts w:ascii="Verdana" w:hAnsi="Verdana"/>
                <w:sz w:val="20"/>
                <w:szCs w:val="20"/>
              </w:rPr>
              <w:t xml:space="preserve"> uređaje u kolodvoru i na pruzi</w:t>
            </w:r>
            <w:r w:rsidRPr="00E920F5">
              <w:rPr>
                <w:rFonts w:ascii="Verdana" w:hAnsi="Verdana"/>
                <w:sz w:val="20"/>
                <w:szCs w:val="20"/>
              </w:rPr>
              <w:t xml:space="preserve"> ure</w:t>
            </w:r>
          </w:p>
        </w:tc>
        <w:tc>
          <w:tcPr>
            <w:tcW w:w="3463" w:type="dxa"/>
          </w:tcPr>
          <w:p w:rsidR="00E3631D" w:rsidRPr="00E920F5" w:rsidRDefault="00E3631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pruge, pojam i vrste</w:t>
            </w:r>
          </w:p>
          <w:p w:rsidR="00E3631D" w:rsidRPr="00E920F5" w:rsidRDefault="00E3631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kolosijeci, podjela</w:t>
            </w:r>
          </w:p>
          <w:p w:rsidR="00E3631D" w:rsidRPr="00E920F5" w:rsidRDefault="00E3631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orijentacija na pruzi</w:t>
            </w:r>
          </w:p>
          <w:p w:rsidR="00E3631D" w:rsidRPr="00E920F5" w:rsidRDefault="00E3631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pružne oznake</w:t>
            </w:r>
          </w:p>
          <w:p w:rsidR="00E3631D" w:rsidRPr="00E920F5" w:rsidRDefault="00E3631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skretnice</w:t>
            </w:r>
          </w:p>
          <w:p w:rsidR="00E3631D" w:rsidRPr="00E920F5" w:rsidRDefault="00E3631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SS i TK uređaji u kolodvoru i na pruzi</w:t>
            </w:r>
          </w:p>
        </w:tc>
        <w:tc>
          <w:tcPr>
            <w:tcW w:w="2100" w:type="dxa"/>
          </w:tcPr>
          <w:p w:rsidR="00E3631D" w:rsidRPr="00E920F5" w:rsidRDefault="00BC616A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Realizirati kroz određene ili prezentacije ili manje seminarske radove</w:t>
            </w:r>
          </w:p>
        </w:tc>
        <w:tc>
          <w:tcPr>
            <w:tcW w:w="3705" w:type="dxa"/>
          </w:tcPr>
          <w:p w:rsidR="00E3631D" w:rsidRPr="00E920F5" w:rsidRDefault="00E3631D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DA05C8" w:rsidRPr="00E920F5" w:rsidRDefault="00DA05C8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</w:t>
            </w:r>
          </w:p>
        </w:tc>
      </w:tr>
      <w:tr w:rsidR="0070691C" w:rsidRPr="00E920F5" w:rsidTr="007D3D28">
        <w:trPr>
          <w:trHeight w:val="385"/>
        </w:trPr>
        <w:tc>
          <w:tcPr>
            <w:tcW w:w="1932" w:type="dxa"/>
          </w:tcPr>
          <w:p w:rsidR="0070691C" w:rsidRPr="00E920F5" w:rsidRDefault="00C63D26" w:rsidP="00E920F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920F5">
              <w:rPr>
                <w:rFonts w:ascii="Verdana" w:hAnsi="Verdana"/>
                <w:b/>
                <w:sz w:val="20"/>
                <w:szCs w:val="20"/>
              </w:rPr>
              <w:t xml:space="preserve">Službena mjesta na pruzi i </w:t>
            </w:r>
            <w:r w:rsidRPr="00E920F5">
              <w:rPr>
                <w:rFonts w:ascii="Verdana" w:hAnsi="Verdana"/>
                <w:b/>
                <w:sz w:val="20"/>
                <w:szCs w:val="20"/>
              </w:rPr>
              <w:lastRenderedPageBreak/>
              <w:t>organizacija rada</w:t>
            </w:r>
          </w:p>
        </w:tc>
        <w:tc>
          <w:tcPr>
            <w:tcW w:w="2792" w:type="dxa"/>
          </w:tcPr>
          <w:p w:rsidR="0070691C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lastRenderedPageBreak/>
              <w:t>- objasniti vrste kolodvora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lastRenderedPageBreak/>
              <w:t>-nabrojiti ostala službena mjesta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nabrojiti dijelove poslovnog reda kolodvora</w:t>
            </w:r>
          </w:p>
        </w:tc>
        <w:tc>
          <w:tcPr>
            <w:tcW w:w="3463" w:type="dxa"/>
          </w:tcPr>
          <w:p w:rsidR="0070691C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lastRenderedPageBreak/>
              <w:t>- kolodvori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ostala službena mjesta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-poslovni red kolodvora</w:t>
            </w:r>
          </w:p>
        </w:tc>
        <w:tc>
          <w:tcPr>
            <w:tcW w:w="2100" w:type="dxa"/>
          </w:tcPr>
          <w:p w:rsidR="0070691C" w:rsidRPr="00E920F5" w:rsidRDefault="00BC616A" w:rsidP="00E920F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zadaću pronalaženje </w:t>
            </w:r>
            <w:r w:rsidRPr="00E920F5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>određenih službenih mjesta u RH</w:t>
            </w:r>
          </w:p>
        </w:tc>
        <w:tc>
          <w:tcPr>
            <w:tcW w:w="3705" w:type="dxa"/>
          </w:tcPr>
          <w:p w:rsidR="00BC616A" w:rsidRPr="00E920F5" w:rsidRDefault="00BC616A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lastRenderedPageBreak/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70691C" w:rsidRPr="00E920F5" w:rsidRDefault="0070691C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C63D26" w:rsidRPr="00E920F5" w:rsidTr="007D3D28">
        <w:trPr>
          <w:trHeight w:val="385"/>
        </w:trPr>
        <w:tc>
          <w:tcPr>
            <w:tcW w:w="1932" w:type="dxa"/>
          </w:tcPr>
          <w:p w:rsidR="00C63D26" w:rsidRPr="00E920F5" w:rsidRDefault="00C63D26" w:rsidP="00E920F5">
            <w:pPr>
              <w:pStyle w:val="Zaglavlje"/>
              <w:tabs>
                <w:tab w:val="clear" w:pos="4153"/>
                <w:tab w:val="clear" w:pos="8306"/>
              </w:tabs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Vlakovi, uporaba lokomotiva i brzine vlakova</w:t>
            </w:r>
          </w:p>
        </w:tc>
        <w:tc>
          <w:tcPr>
            <w:tcW w:w="2792" w:type="dxa"/>
          </w:tcPr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61228" w:rsidRPr="00E920F5">
              <w:rPr>
                <w:rFonts w:ascii="Verdana" w:hAnsi="Verdana"/>
                <w:sz w:val="20"/>
                <w:szCs w:val="20"/>
              </w:rPr>
              <w:t>razlikovati</w:t>
            </w:r>
            <w:r w:rsidRPr="00E920F5">
              <w:rPr>
                <w:rFonts w:ascii="Verdana" w:hAnsi="Verdana"/>
                <w:sz w:val="20"/>
                <w:szCs w:val="20"/>
              </w:rPr>
              <w:t xml:space="preserve"> podjelu vlakova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prepoznati vrstu i rang vlaka na osnovu broja vlaka</w:t>
            </w:r>
          </w:p>
          <w:p w:rsidR="00DA05C8" w:rsidRPr="00E920F5" w:rsidRDefault="00DA05C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objasniti uporabu lokomotiva u vlaku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prepoznati različite brzine vlakova</w:t>
            </w:r>
          </w:p>
        </w:tc>
        <w:tc>
          <w:tcPr>
            <w:tcW w:w="3463" w:type="dxa"/>
          </w:tcPr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podjela vlakova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označavanje vlakova za prijevoz putnika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označavanje vlakova za prijevoz tereta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uporaba lokomotiva u vlaku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brzine vlakova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C63D26" w:rsidRPr="00E920F5" w:rsidRDefault="00BC616A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Realizirati kroz  zadat</w:t>
            </w:r>
            <w:r w:rsidR="00C63D26" w:rsidRPr="00E920F5">
              <w:rPr>
                <w:rFonts w:ascii="Verdana" w:hAnsi="Verdana" w:cstheme="majorBidi"/>
                <w:sz w:val="20"/>
                <w:szCs w:val="20"/>
              </w:rPr>
              <w:t>k</w:t>
            </w:r>
            <w:r w:rsidRPr="00E920F5">
              <w:rPr>
                <w:rFonts w:ascii="Verdana" w:hAnsi="Verdana" w:cstheme="majorBidi"/>
                <w:sz w:val="20"/>
                <w:szCs w:val="20"/>
              </w:rPr>
              <w:t>e</w:t>
            </w:r>
            <w:r w:rsidR="00C63D26" w:rsidRPr="00E920F5">
              <w:rPr>
                <w:rFonts w:ascii="Verdana" w:hAnsi="Verdana" w:cstheme="majorBidi"/>
                <w:sz w:val="20"/>
                <w:szCs w:val="20"/>
              </w:rPr>
              <w:t xml:space="preserve"> određivanja </w:t>
            </w:r>
            <w:r w:rsidRPr="00E920F5">
              <w:rPr>
                <w:rFonts w:ascii="Verdana" w:hAnsi="Verdana" w:cstheme="majorBidi"/>
                <w:sz w:val="20"/>
                <w:szCs w:val="20"/>
              </w:rPr>
              <w:t>brojeva vlakova</w:t>
            </w:r>
          </w:p>
        </w:tc>
        <w:tc>
          <w:tcPr>
            <w:tcW w:w="3705" w:type="dxa"/>
          </w:tcPr>
          <w:p w:rsidR="00C63D26" w:rsidRPr="00E920F5" w:rsidRDefault="00C63D26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C63D26" w:rsidRPr="00E920F5" w:rsidRDefault="00C63D26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DA05C8" w:rsidRPr="00E920F5" w:rsidTr="007D3D28">
        <w:trPr>
          <w:trHeight w:val="385"/>
        </w:trPr>
        <w:tc>
          <w:tcPr>
            <w:tcW w:w="1932" w:type="dxa"/>
          </w:tcPr>
          <w:p w:rsidR="00DA05C8" w:rsidRPr="00E920F5" w:rsidRDefault="00DA05C8" w:rsidP="00E920F5">
            <w:pPr>
              <w:pStyle w:val="Zaglavlje"/>
              <w:tabs>
                <w:tab w:val="clear" w:pos="4153"/>
                <w:tab w:val="clear" w:pos="8306"/>
              </w:tabs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Osnove upravljanja prometom vlakova</w:t>
            </w:r>
          </w:p>
        </w:tc>
        <w:tc>
          <w:tcPr>
            <w:tcW w:w="2792" w:type="dxa"/>
          </w:tcPr>
          <w:p w:rsidR="00DA05C8" w:rsidRPr="00E920F5" w:rsidRDefault="00DA05C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-objasniti koja su sastajanja vlakova</w:t>
            </w:r>
          </w:p>
          <w:p w:rsidR="00DA05C8" w:rsidRPr="00E920F5" w:rsidRDefault="00DA05C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nabroji i objasniti prostorne razmake</w:t>
            </w:r>
          </w:p>
          <w:p w:rsidR="00DA05C8" w:rsidRPr="00E920F5" w:rsidRDefault="00DA05C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prepoznati pojmove;dopuštenje, najava, odjava i privola</w:t>
            </w:r>
          </w:p>
          <w:p w:rsidR="00DA05C8" w:rsidRPr="00E920F5" w:rsidRDefault="00DA05C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uočiti važnost voznog reda</w:t>
            </w:r>
          </w:p>
          <w:p w:rsidR="00DA05C8" w:rsidRPr="00E920F5" w:rsidRDefault="00DA05C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DA05C8" w:rsidRPr="00E920F5" w:rsidRDefault="00DA05C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sastajanja vlakova</w:t>
            </w:r>
          </w:p>
          <w:p w:rsidR="00DA05C8" w:rsidRPr="00E920F5" w:rsidRDefault="00DA05C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slijeđenje vlakova</w:t>
            </w:r>
          </w:p>
          <w:p w:rsidR="00DA05C8" w:rsidRPr="00E920F5" w:rsidRDefault="00DA05C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-reguliranje kretanja vlakova</w:t>
            </w:r>
          </w:p>
          <w:p w:rsidR="00DA05C8" w:rsidRPr="00E920F5" w:rsidRDefault="00DA05C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-vozni red</w:t>
            </w:r>
          </w:p>
        </w:tc>
        <w:tc>
          <w:tcPr>
            <w:tcW w:w="2100" w:type="dxa"/>
          </w:tcPr>
          <w:p w:rsidR="00DA05C8" w:rsidRPr="00E920F5" w:rsidRDefault="00BC616A" w:rsidP="00E920F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Cs/>
                <w:sz w:val="20"/>
                <w:szCs w:val="20"/>
              </w:rPr>
              <w:t>Realizirati kroz određene vježbe, rad u parovima</w:t>
            </w:r>
          </w:p>
        </w:tc>
        <w:tc>
          <w:tcPr>
            <w:tcW w:w="3705" w:type="dxa"/>
          </w:tcPr>
          <w:p w:rsidR="00DA05C8" w:rsidRPr="00E920F5" w:rsidRDefault="00DA05C8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</w:tc>
      </w:tr>
    </w:tbl>
    <w:p w:rsidR="00BC616A" w:rsidRPr="00E920F5" w:rsidRDefault="00BC616A" w:rsidP="00E920F5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B3DB6" w:rsidRPr="00E920F5" w:rsidRDefault="001B3DB6" w:rsidP="00E920F5">
      <w:pPr>
        <w:spacing w:line="276" w:lineRule="auto"/>
        <w:rPr>
          <w:rFonts w:ascii="Verdana" w:hAnsi="Verdana" w:cstheme="majorBidi"/>
          <w:b/>
          <w:sz w:val="20"/>
          <w:szCs w:val="20"/>
        </w:rPr>
      </w:pPr>
    </w:p>
    <w:p w:rsidR="001B3DB6" w:rsidRPr="00E920F5" w:rsidRDefault="001B3DB6" w:rsidP="00E920F5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E920F5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B3DB6" w:rsidRPr="00E920F5" w:rsidRDefault="001B3DB6" w:rsidP="00E920F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B3DB6" w:rsidRPr="00E920F5" w:rsidRDefault="001B3DB6" w:rsidP="00E920F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E920F5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B3DB6" w:rsidRPr="00E920F5" w:rsidRDefault="001B3DB6" w:rsidP="00E920F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E920F5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942933" w:rsidRPr="00E920F5" w:rsidRDefault="00942933" w:rsidP="00E920F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E80942" w:rsidRPr="00E920F5" w:rsidRDefault="00E80942" w:rsidP="00E920F5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</w:p>
    <w:p w:rsidR="00BC616A" w:rsidRPr="0010279F" w:rsidRDefault="00BC616A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t>Obrazovni sektor: Promet i logistika</w:t>
      </w:r>
    </w:p>
    <w:p w:rsidR="00BC616A" w:rsidRPr="0010279F" w:rsidRDefault="00BC616A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t>Kvalifikacija/zanimanje: Tehničar željeznički promet</w:t>
      </w:r>
    </w:p>
    <w:p w:rsidR="00BC616A" w:rsidRPr="0010279F" w:rsidRDefault="00BC616A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t>Naziv nastavnog predmeta: Tehnologija željezničkog prometa</w:t>
      </w:r>
    </w:p>
    <w:p w:rsidR="00BC616A" w:rsidRPr="0010279F" w:rsidRDefault="00BC616A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t>Razred: treći  (3.)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BC616A" w:rsidRPr="00E920F5" w:rsidTr="00B17A0D">
        <w:tc>
          <w:tcPr>
            <w:tcW w:w="1932" w:type="dxa"/>
          </w:tcPr>
          <w:p w:rsidR="00BC616A" w:rsidRPr="00E920F5" w:rsidRDefault="00BC616A" w:rsidP="00E920F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BC616A" w:rsidRPr="00E920F5" w:rsidRDefault="00BC616A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BC616A" w:rsidRPr="00E920F5" w:rsidRDefault="00BC616A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BC616A" w:rsidRPr="00E920F5" w:rsidRDefault="00BC616A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BC616A" w:rsidRPr="00E920F5" w:rsidRDefault="00BC616A" w:rsidP="00E920F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BC616A" w:rsidRPr="00E920F5" w:rsidRDefault="00BC616A" w:rsidP="00E920F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BC616A" w:rsidRPr="00E920F5" w:rsidRDefault="00BC616A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BC616A" w:rsidRPr="00E920F5" w:rsidTr="00B17A0D">
        <w:trPr>
          <w:trHeight w:val="385"/>
        </w:trPr>
        <w:tc>
          <w:tcPr>
            <w:tcW w:w="1932" w:type="dxa"/>
          </w:tcPr>
          <w:p w:rsidR="00BC616A" w:rsidRPr="00E920F5" w:rsidRDefault="00BC616A" w:rsidP="00E920F5">
            <w:pPr>
              <w:pStyle w:val="Tijeloteksta"/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Signalizacija u željezničkom prometu</w:t>
            </w:r>
          </w:p>
        </w:tc>
        <w:tc>
          <w:tcPr>
            <w:tcW w:w="2792" w:type="dxa"/>
          </w:tcPr>
          <w:p w:rsidR="00BC616A" w:rsidRPr="00E920F5" w:rsidRDefault="00BC616A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-objasniti </w:t>
            </w:r>
            <w:r w:rsidR="00C17E8D" w:rsidRPr="00E920F5">
              <w:rPr>
                <w:rFonts w:ascii="Verdana" w:hAnsi="Verdana"/>
                <w:sz w:val="20"/>
                <w:szCs w:val="20"/>
              </w:rPr>
              <w:t xml:space="preserve">signalne znakove glavnih signala, </w:t>
            </w:r>
            <w:proofErr w:type="spellStart"/>
            <w:r w:rsidR="00C17E8D" w:rsidRPr="00E920F5">
              <w:rPr>
                <w:rFonts w:ascii="Verdana" w:hAnsi="Verdana"/>
                <w:sz w:val="20"/>
                <w:szCs w:val="20"/>
              </w:rPr>
              <w:t>predsignala</w:t>
            </w:r>
            <w:proofErr w:type="spellEnd"/>
            <w:r w:rsidR="00C17E8D" w:rsidRPr="00E920F5">
              <w:rPr>
                <w:rFonts w:ascii="Verdana" w:hAnsi="Verdana"/>
                <w:sz w:val="20"/>
                <w:szCs w:val="20"/>
              </w:rPr>
              <w:t xml:space="preserve"> i ponavljača</w:t>
            </w:r>
          </w:p>
          <w:p w:rsidR="00C17E8D" w:rsidRPr="00E920F5" w:rsidRDefault="00C17E8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te objasniti postupak u slučaju kvara i mjesto ugradnje</w:t>
            </w:r>
          </w:p>
          <w:p w:rsidR="00BC616A" w:rsidRPr="00E920F5" w:rsidRDefault="00C17E8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nabrojiti signalne znakove; kod manevriranja, na </w:t>
            </w:r>
            <w:proofErr w:type="spellStart"/>
            <w:r w:rsidRPr="00E920F5">
              <w:rPr>
                <w:rFonts w:ascii="Verdana" w:hAnsi="Verdana"/>
                <w:sz w:val="20"/>
                <w:szCs w:val="20"/>
              </w:rPr>
              <w:t>žcp</w:t>
            </w:r>
            <w:proofErr w:type="spellEnd"/>
            <w:r w:rsidRPr="00E920F5">
              <w:rPr>
                <w:rFonts w:ascii="Verdana" w:hAnsi="Verdana"/>
                <w:sz w:val="20"/>
                <w:szCs w:val="20"/>
              </w:rPr>
              <w:t xml:space="preserve">-u, kod </w:t>
            </w:r>
            <w:proofErr w:type="spellStart"/>
            <w:r w:rsidRPr="00E920F5">
              <w:rPr>
                <w:rFonts w:ascii="Verdana" w:hAnsi="Verdana"/>
                <w:sz w:val="20"/>
                <w:szCs w:val="20"/>
              </w:rPr>
              <w:t>elektro</w:t>
            </w:r>
            <w:proofErr w:type="spellEnd"/>
            <w:r w:rsidRPr="00E920F5">
              <w:rPr>
                <w:rFonts w:ascii="Verdana" w:hAnsi="Verdana"/>
                <w:sz w:val="20"/>
                <w:szCs w:val="20"/>
              </w:rPr>
              <w:t xml:space="preserve"> vuče, kod provjere kočnica, osoblja pruge, osoblja vučnog vozila</w:t>
            </w:r>
          </w:p>
          <w:p w:rsidR="00C17E8D" w:rsidRPr="00E920F5" w:rsidRDefault="00C17E8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-objasniti signalne znakove kod prijema i otpreme vlaka</w:t>
            </w:r>
          </w:p>
          <w:p w:rsidR="00C17E8D" w:rsidRPr="00E920F5" w:rsidRDefault="00C17E8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-prepoznati signalne znakove</w:t>
            </w:r>
          </w:p>
          <w:p w:rsidR="00C17E8D" w:rsidRPr="00E920F5" w:rsidRDefault="00C17E8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-nabrojiti signale koji se više ne smiju ugrađivati</w:t>
            </w:r>
          </w:p>
        </w:tc>
        <w:tc>
          <w:tcPr>
            <w:tcW w:w="3463" w:type="dxa"/>
          </w:tcPr>
          <w:p w:rsidR="00BC616A" w:rsidRPr="00E920F5" w:rsidRDefault="00BC616A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 xml:space="preserve">- </w:t>
            </w:r>
            <w:r w:rsidR="00514411" w:rsidRPr="00E920F5">
              <w:rPr>
                <w:rFonts w:ascii="Verdana" w:hAnsi="Verdana"/>
              </w:rPr>
              <w:t>glavni signali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 xml:space="preserve">- </w:t>
            </w:r>
            <w:proofErr w:type="spellStart"/>
            <w:r w:rsidRPr="00E920F5">
              <w:rPr>
                <w:rFonts w:ascii="Verdana" w:hAnsi="Verdana"/>
              </w:rPr>
              <w:t>predsignali</w:t>
            </w:r>
            <w:proofErr w:type="spellEnd"/>
            <w:r w:rsidRPr="00E920F5">
              <w:rPr>
                <w:rFonts w:ascii="Verdana" w:hAnsi="Verdana"/>
              </w:rPr>
              <w:t xml:space="preserve"> 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 xml:space="preserve">-ponavljači </w:t>
            </w:r>
            <w:proofErr w:type="spellStart"/>
            <w:r w:rsidRPr="00E920F5">
              <w:rPr>
                <w:rFonts w:ascii="Verdana" w:hAnsi="Verdana"/>
              </w:rPr>
              <w:t>predsignala</w:t>
            </w:r>
            <w:proofErr w:type="spellEnd"/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 xml:space="preserve">-ostali kolodvorski signali 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 manevarski signali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 signali na žel</w:t>
            </w:r>
            <w:r w:rsidR="00C17E8D" w:rsidRPr="00E920F5">
              <w:rPr>
                <w:rFonts w:ascii="Verdana" w:hAnsi="Verdana"/>
              </w:rPr>
              <w:t>j</w:t>
            </w:r>
            <w:r w:rsidRPr="00E920F5">
              <w:rPr>
                <w:rFonts w:ascii="Verdana" w:hAnsi="Verdana"/>
              </w:rPr>
              <w:t>ezničko-cestovnim prijelazima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 xml:space="preserve">-signali za </w:t>
            </w:r>
            <w:proofErr w:type="spellStart"/>
            <w:r w:rsidRPr="00E920F5">
              <w:rPr>
                <w:rFonts w:ascii="Verdana" w:hAnsi="Verdana"/>
              </w:rPr>
              <w:t>elektro</w:t>
            </w:r>
            <w:proofErr w:type="spellEnd"/>
            <w:r w:rsidRPr="00E920F5">
              <w:rPr>
                <w:rFonts w:ascii="Verdana" w:hAnsi="Verdana"/>
              </w:rPr>
              <w:t xml:space="preserve"> vuču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-signali na vlaku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-signalni znakovi  kolodvorskog osoblja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-signalni znakovi kod prijema i otpreme vlaka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 signalni znakovi kod manevriranja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-signalni znakovi kod provjere ispravnosti kočnica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lastRenderedPageBreak/>
              <w:t>- signalni znakovi osoblja pruge</w:t>
            </w:r>
          </w:p>
          <w:p w:rsidR="00514411" w:rsidRPr="00E920F5" w:rsidRDefault="00514411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 si</w:t>
            </w:r>
            <w:r w:rsidR="00503265" w:rsidRPr="00E920F5">
              <w:rPr>
                <w:rFonts w:ascii="Verdana" w:hAnsi="Verdana"/>
              </w:rPr>
              <w:t>gnalni znakovi osoblja vučnog vozila</w:t>
            </w:r>
          </w:p>
          <w:p w:rsidR="00503265" w:rsidRPr="00E920F5" w:rsidRDefault="00503265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 xml:space="preserve">-signalne oznake </w:t>
            </w:r>
          </w:p>
          <w:p w:rsidR="00503265" w:rsidRPr="00E920F5" w:rsidRDefault="00503265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-signali i signalne oznake koji se više ne smiju ugrađivati</w:t>
            </w:r>
          </w:p>
          <w:p w:rsidR="00BC616A" w:rsidRPr="00E920F5" w:rsidRDefault="00BC616A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100" w:type="dxa"/>
          </w:tcPr>
          <w:p w:rsidR="00BC616A" w:rsidRPr="00E920F5" w:rsidRDefault="00BC616A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 xml:space="preserve">Realizirati kroz samostalno upoznavanje s </w:t>
            </w:r>
            <w:r w:rsidR="00C17E8D" w:rsidRPr="00E920F5">
              <w:rPr>
                <w:rFonts w:ascii="Verdana" w:hAnsi="Verdana" w:cstheme="majorBidi"/>
                <w:bCs/>
                <w:sz w:val="20"/>
                <w:szCs w:val="20"/>
              </w:rPr>
              <w:t>pojedinim signalnim znakovima; putem prezentacija i seminarskih radova</w:t>
            </w:r>
          </w:p>
        </w:tc>
        <w:tc>
          <w:tcPr>
            <w:tcW w:w="3705" w:type="dxa"/>
          </w:tcPr>
          <w:p w:rsidR="00BC616A" w:rsidRPr="00E920F5" w:rsidRDefault="00BC616A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BC616A" w:rsidRPr="00E920F5" w:rsidRDefault="00BC616A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A6192B" w:rsidRPr="00E920F5" w:rsidTr="00B17A0D">
        <w:trPr>
          <w:trHeight w:val="385"/>
        </w:trPr>
        <w:tc>
          <w:tcPr>
            <w:tcW w:w="1932" w:type="dxa"/>
          </w:tcPr>
          <w:p w:rsidR="00A6192B" w:rsidRPr="00E920F5" w:rsidRDefault="00A6192B" w:rsidP="00E920F5">
            <w:pPr>
              <w:pStyle w:val="Zaglavlje"/>
              <w:tabs>
                <w:tab w:val="clear" w:pos="4153"/>
                <w:tab w:val="clear" w:pos="8306"/>
              </w:tabs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Pripreme za promet vlakova - manevriranje</w:t>
            </w:r>
          </w:p>
        </w:tc>
        <w:tc>
          <w:tcPr>
            <w:tcW w:w="2792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 -prepoznati vrste manevarskih kretanja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-razlikovati manevarske radnike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-nabrojiti načine kočenja pri manevriranju i primijeniti određeni način kočenja 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-nabrojiti brzine pri manevriranju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vrste manevarskih kretanja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manevarski radnici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kočenje pri manevriranju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mjere opreza pri manevriranju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brzine pri manevriranju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Realizirati kroz  zadatke pronalaženja određenih podataka kod manevriranja</w:t>
            </w:r>
          </w:p>
        </w:tc>
        <w:tc>
          <w:tcPr>
            <w:tcW w:w="3705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</w:t>
            </w:r>
          </w:p>
        </w:tc>
      </w:tr>
      <w:tr w:rsidR="00A6192B" w:rsidRPr="00E920F5" w:rsidTr="00B17A0D">
        <w:trPr>
          <w:trHeight w:val="385"/>
        </w:trPr>
        <w:tc>
          <w:tcPr>
            <w:tcW w:w="1932" w:type="dxa"/>
          </w:tcPr>
          <w:p w:rsidR="00A6192B" w:rsidRPr="00E920F5" w:rsidRDefault="00A6192B" w:rsidP="00E920F5">
            <w:pPr>
              <w:pStyle w:val="Zaglavlje"/>
              <w:tabs>
                <w:tab w:val="clear" w:pos="4153"/>
                <w:tab w:val="clear" w:pos="8306"/>
              </w:tabs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Odredbe o sastavljanju vlakova</w:t>
            </w:r>
          </w:p>
        </w:tc>
        <w:tc>
          <w:tcPr>
            <w:tcW w:w="2792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objasniti kako se uvrštavaju vagoni u vlakove za prijevoz putnika i vlakove za prijevoz tereta</w:t>
            </w:r>
          </w:p>
        </w:tc>
        <w:tc>
          <w:tcPr>
            <w:tcW w:w="3463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uvrštavanje vagona u vlakove </w:t>
            </w:r>
          </w:p>
        </w:tc>
        <w:tc>
          <w:tcPr>
            <w:tcW w:w="2100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705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A6192B" w:rsidRPr="00E920F5" w:rsidTr="00B17A0D">
        <w:trPr>
          <w:trHeight w:val="385"/>
        </w:trPr>
        <w:tc>
          <w:tcPr>
            <w:tcW w:w="1932" w:type="dxa"/>
          </w:tcPr>
          <w:p w:rsidR="00A6192B" w:rsidRPr="00E920F5" w:rsidRDefault="00A6192B" w:rsidP="00E920F5">
            <w:pPr>
              <w:pStyle w:val="Zaglavlje"/>
              <w:tabs>
                <w:tab w:val="clear" w:pos="4153"/>
                <w:tab w:val="clear" w:pos="8306"/>
              </w:tabs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Masa i duljina vlaka</w:t>
            </w:r>
          </w:p>
        </w:tc>
        <w:tc>
          <w:tcPr>
            <w:tcW w:w="2792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prepoznati kakva masa vlaka može biti i kao se izračunava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objasniti kako se računa duljina vlaka</w:t>
            </w:r>
          </w:p>
        </w:tc>
        <w:tc>
          <w:tcPr>
            <w:tcW w:w="3463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masa vlaka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duljina vlaka </w:t>
            </w:r>
          </w:p>
        </w:tc>
        <w:tc>
          <w:tcPr>
            <w:tcW w:w="2100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Realizirati kroz </w:t>
            </w:r>
            <w:r w:rsidR="00942933" w:rsidRPr="00E920F5">
              <w:rPr>
                <w:rFonts w:ascii="Verdana" w:hAnsi="Verdana" w:cstheme="majorBidi"/>
                <w:sz w:val="20"/>
                <w:szCs w:val="20"/>
              </w:rPr>
              <w:t>izračunavanje mase i duljine vlaka</w:t>
            </w:r>
          </w:p>
        </w:tc>
        <w:tc>
          <w:tcPr>
            <w:tcW w:w="3705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A6192B" w:rsidRPr="00E920F5" w:rsidTr="00B17A0D">
        <w:trPr>
          <w:trHeight w:val="385"/>
        </w:trPr>
        <w:tc>
          <w:tcPr>
            <w:tcW w:w="1932" w:type="dxa"/>
          </w:tcPr>
          <w:p w:rsidR="00A6192B" w:rsidRPr="00E920F5" w:rsidRDefault="00A6192B" w:rsidP="00E920F5">
            <w:pPr>
              <w:pStyle w:val="Zaglavlje"/>
              <w:tabs>
                <w:tab w:val="clear" w:pos="4153"/>
                <w:tab w:val="clear" w:pos="8306"/>
              </w:tabs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lastRenderedPageBreak/>
              <w:t>Najveća vučena masa lokomotive</w:t>
            </w:r>
          </w:p>
        </w:tc>
        <w:tc>
          <w:tcPr>
            <w:tcW w:w="2792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objasniti kako se koriste pojedine tablice Upute 52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objasniti kako se računa masa vlaka kad je jedna lokomotiva u vlaku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objasniti kako se računa masa vlaka kad su u vlaku vozna i zaprežna lokomotiva 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objasniti kako se računa masa vlaka kad su u vlaku vozna lokomotiva i </w:t>
            </w:r>
            <w:proofErr w:type="spellStart"/>
            <w:r w:rsidRPr="00E920F5">
              <w:rPr>
                <w:rFonts w:ascii="Verdana" w:hAnsi="Verdana"/>
                <w:sz w:val="20"/>
                <w:szCs w:val="20"/>
              </w:rPr>
              <w:t>potiskivalica</w:t>
            </w:r>
            <w:proofErr w:type="spellEnd"/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objasniti kako se računa masa vlaka kad su u vlaku vozna i zaprežna lokomotiva te </w:t>
            </w:r>
            <w:proofErr w:type="spellStart"/>
            <w:r w:rsidRPr="00E920F5">
              <w:rPr>
                <w:rFonts w:ascii="Verdana" w:hAnsi="Verdana"/>
                <w:sz w:val="20"/>
                <w:szCs w:val="20"/>
              </w:rPr>
              <w:t>potiskivakica</w:t>
            </w:r>
            <w:proofErr w:type="spellEnd"/>
          </w:p>
        </w:tc>
        <w:tc>
          <w:tcPr>
            <w:tcW w:w="3463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-Tablice Upute 52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određivanje NVM-a kad je jedna lokomotiva u vlaku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-određivanje NVM-a kad su u vlaku vozna i zaprežna lokomotiva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određivanje NVM-a kad su u vlaku vozna lokomotiva i </w:t>
            </w:r>
            <w:proofErr w:type="spellStart"/>
            <w:r w:rsidRPr="00E920F5">
              <w:rPr>
                <w:rFonts w:ascii="Verdana" w:hAnsi="Verdana"/>
                <w:sz w:val="20"/>
                <w:szCs w:val="20"/>
              </w:rPr>
              <w:t>potiskivalica</w:t>
            </w:r>
            <w:proofErr w:type="spellEnd"/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određivanje NVM-a kad su u vlaku vozna i zaprežna lokomotiva te </w:t>
            </w:r>
            <w:proofErr w:type="spellStart"/>
            <w:r w:rsidRPr="00E920F5">
              <w:rPr>
                <w:rFonts w:ascii="Verdana" w:hAnsi="Verdana"/>
                <w:sz w:val="20"/>
                <w:szCs w:val="20"/>
              </w:rPr>
              <w:t>potiskivalica</w:t>
            </w:r>
            <w:proofErr w:type="spellEnd"/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Realizirati kroz  zadatke pronalaženja određenih podataka u tablicama Upute 52</w:t>
            </w:r>
          </w:p>
        </w:tc>
        <w:tc>
          <w:tcPr>
            <w:tcW w:w="3705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A6192B" w:rsidRPr="00E920F5" w:rsidRDefault="008E48DD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osr.B.4.2. Su</w:t>
            </w:r>
            <w:r w:rsidR="00A6192B" w:rsidRPr="00E920F5">
              <w:rPr>
                <w:rFonts w:ascii="Verdana" w:hAnsi="Verdana" w:cstheme="majorBidi"/>
                <w:sz w:val="20"/>
                <w:szCs w:val="20"/>
              </w:rPr>
              <w:t>radnički uči i radi u timu</w:t>
            </w:r>
          </w:p>
        </w:tc>
      </w:tr>
    </w:tbl>
    <w:p w:rsidR="00BC616A" w:rsidRPr="00E920F5" w:rsidRDefault="00BC616A" w:rsidP="00E920F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A6192B" w:rsidRPr="00E920F5" w:rsidRDefault="00A6192B" w:rsidP="00E920F5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E920F5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A6192B" w:rsidRPr="00E920F5" w:rsidRDefault="00A6192B" w:rsidP="00E920F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A6192B" w:rsidRPr="00E920F5" w:rsidRDefault="00A6192B" w:rsidP="00E920F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E920F5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A6192B" w:rsidRPr="00E920F5" w:rsidRDefault="00A6192B" w:rsidP="00E920F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E920F5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672B65" w:rsidRPr="00E920F5" w:rsidRDefault="00672B65" w:rsidP="00E920F5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A6192B" w:rsidRPr="00E920F5" w:rsidRDefault="00A6192B" w:rsidP="00E920F5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A6192B" w:rsidRPr="00E920F5" w:rsidRDefault="00A6192B" w:rsidP="00E920F5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1C0ED5" w:rsidRPr="00E920F5" w:rsidRDefault="001C0ED5" w:rsidP="00E920F5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E920F5" w:rsidRDefault="00E920F5">
      <w:pPr>
        <w:spacing w:after="200" w:line="276" w:lineRule="auto"/>
        <w:rPr>
          <w:rFonts w:ascii="Verdana" w:hAnsi="Verdana" w:cstheme="majorBidi"/>
          <w:sz w:val="20"/>
          <w:szCs w:val="20"/>
        </w:rPr>
      </w:pPr>
      <w:r>
        <w:rPr>
          <w:rFonts w:ascii="Verdana" w:hAnsi="Verdana" w:cstheme="majorBidi"/>
          <w:sz w:val="20"/>
          <w:szCs w:val="20"/>
        </w:rPr>
        <w:br w:type="page"/>
      </w:r>
    </w:p>
    <w:p w:rsidR="00A6192B" w:rsidRPr="0010279F" w:rsidRDefault="00A6192B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lastRenderedPageBreak/>
        <w:t>Obrazovni sektor: Promet i logistika</w:t>
      </w:r>
      <w:bookmarkStart w:id="0" w:name="_GoBack"/>
      <w:bookmarkEnd w:id="0"/>
    </w:p>
    <w:p w:rsidR="00A6192B" w:rsidRPr="0010279F" w:rsidRDefault="00A6192B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t>Kvalifikacija/zanimanje: Tehničar željeznički promet</w:t>
      </w:r>
    </w:p>
    <w:p w:rsidR="00A6192B" w:rsidRPr="0010279F" w:rsidRDefault="00A6192B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t>Naziv nastavnog predmeta: Tehnologija željezničkog prometa</w:t>
      </w:r>
    </w:p>
    <w:p w:rsidR="00A6192B" w:rsidRPr="0010279F" w:rsidRDefault="00A6192B" w:rsidP="00E920F5">
      <w:pPr>
        <w:spacing w:line="276" w:lineRule="auto"/>
        <w:rPr>
          <w:rFonts w:ascii="Verdana" w:hAnsi="Verdana" w:cstheme="majorBidi"/>
          <w:b/>
        </w:rPr>
      </w:pPr>
      <w:r w:rsidRPr="0010279F">
        <w:rPr>
          <w:rFonts w:ascii="Verdana" w:hAnsi="Verdana" w:cstheme="majorBidi"/>
          <w:b/>
        </w:rPr>
        <w:t>Razred: četvrti (4.)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32"/>
        <w:gridCol w:w="2792"/>
        <w:gridCol w:w="3463"/>
        <w:gridCol w:w="2100"/>
        <w:gridCol w:w="3705"/>
      </w:tblGrid>
      <w:tr w:rsidR="00A6192B" w:rsidRPr="00E920F5" w:rsidTr="00B17A0D">
        <w:tc>
          <w:tcPr>
            <w:tcW w:w="1932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2792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63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100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705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A6192B" w:rsidRPr="00E920F5" w:rsidTr="00B17A0D">
        <w:trPr>
          <w:trHeight w:val="385"/>
        </w:trPr>
        <w:tc>
          <w:tcPr>
            <w:tcW w:w="1932" w:type="dxa"/>
          </w:tcPr>
          <w:p w:rsidR="00A6192B" w:rsidRPr="00E920F5" w:rsidRDefault="008E48DD" w:rsidP="00E920F5">
            <w:pPr>
              <w:pStyle w:val="Tijeloteksta"/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Slijeđenje vlakova</w:t>
            </w:r>
          </w:p>
        </w:tc>
        <w:tc>
          <w:tcPr>
            <w:tcW w:w="2792" w:type="dxa"/>
          </w:tcPr>
          <w:p w:rsidR="001840B8" w:rsidRPr="00E920F5" w:rsidRDefault="001840B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961228" w:rsidRPr="00E920F5">
              <w:rPr>
                <w:rFonts w:ascii="Verdana" w:hAnsi="Verdana"/>
                <w:sz w:val="20"/>
                <w:szCs w:val="20"/>
              </w:rPr>
              <w:t>Koristiti i</w:t>
            </w:r>
            <w:r w:rsidRPr="00E920F5">
              <w:rPr>
                <w:rFonts w:ascii="Verdana" w:hAnsi="Verdana"/>
                <w:sz w:val="20"/>
                <w:szCs w:val="20"/>
              </w:rPr>
              <w:t xml:space="preserve"> čitati grafikon voznog reda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-objasniti </w:t>
            </w:r>
            <w:r w:rsidR="001840B8" w:rsidRPr="00E920F5">
              <w:rPr>
                <w:rFonts w:ascii="Verdana" w:hAnsi="Verdana"/>
                <w:sz w:val="20"/>
                <w:szCs w:val="20"/>
              </w:rPr>
              <w:t>kako se vlakovi slijede u pojedinim prostornim razmacima</w:t>
            </w:r>
            <w:r w:rsidRPr="00E920F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1840B8" w:rsidRPr="00E920F5" w:rsidRDefault="001840B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odrediti najkasniji i najraniji polazak vlaka</w:t>
            </w:r>
          </w:p>
        </w:tc>
        <w:tc>
          <w:tcPr>
            <w:tcW w:w="3463" w:type="dxa"/>
          </w:tcPr>
          <w:p w:rsidR="008E48DD" w:rsidRPr="00E920F5" w:rsidRDefault="00A6192B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 xml:space="preserve">- </w:t>
            </w:r>
            <w:r w:rsidR="001840B8" w:rsidRPr="00E920F5">
              <w:rPr>
                <w:rFonts w:ascii="Verdana" w:hAnsi="Verdana"/>
              </w:rPr>
              <w:t>Reguliranje prometa vlakova</w:t>
            </w:r>
          </w:p>
          <w:p w:rsidR="001840B8" w:rsidRPr="00E920F5" w:rsidRDefault="001840B8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 slijeđenje u kolodvorskom razmaku</w:t>
            </w:r>
          </w:p>
          <w:p w:rsidR="001840B8" w:rsidRPr="00E920F5" w:rsidRDefault="001C0ED5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-slijeđenje u odjavnom raz</w:t>
            </w:r>
            <w:r w:rsidR="001840B8" w:rsidRPr="00E920F5">
              <w:rPr>
                <w:rFonts w:ascii="Verdana" w:hAnsi="Verdana"/>
              </w:rPr>
              <w:t>m</w:t>
            </w:r>
            <w:r w:rsidRPr="00E920F5">
              <w:rPr>
                <w:rFonts w:ascii="Verdana" w:hAnsi="Verdana"/>
              </w:rPr>
              <w:t>a</w:t>
            </w:r>
            <w:r w:rsidR="001840B8" w:rsidRPr="00E920F5">
              <w:rPr>
                <w:rFonts w:ascii="Verdana" w:hAnsi="Verdana"/>
              </w:rPr>
              <w:t>ku</w:t>
            </w:r>
          </w:p>
          <w:p w:rsidR="001840B8" w:rsidRPr="00E920F5" w:rsidRDefault="001840B8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 xml:space="preserve">- slijeđenje u </w:t>
            </w:r>
            <w:proofErr w:type="spellStart"/>
            <w:r w:rsidRPr="00E920F5">
              <w:rPr>
                <w:rFonts w:ascii="Verdana" w:hAnsi="Verdana"/>
              </w:rPr>
              <w:t>blokovnom</w:t>
            </w:r>
            <w:proofErr w:type="spellEnd"/>
            <w:r w:rsidRPr="00E920F5">
              <w:rPr>
                <w:rFonts w:ascii="Verdana" w:hAnsi="Verdana"/>
              </w:rPr>
              <w:t xml:space="preserve"> razmaku</w:t>
            </w:r>
          </w:p>
          <w:p w:rsidR="001840B8" w:rsidRPr="00E920F5" w:rsidRDefault="001840B8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- određivanje na ranijeg  polaska uzastopnog vlaka</w:t>
            </w:r>
          </w:p>
          <w:p w:rsidR="00A6192B" w:rsidRPr="00E920F5" w:rsidRDefault="001840B8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 xml:space="preserve">- određivanje najkasnijeg polaska </w:t>
            </w:r>
            <w:proofErr w:type="spellStart"/>
            <w:r w:rsidRPr="00E920F5">
              <w:rPr>
                <w:rFonts w:ascii="Verdana" w:hAnsi="Verdana"/>
              </w:rPr>
              <w:t>predhodnog</w:t>
            </w:r>
            <w:proofErr w:type="spellEnd"/>
            <w:r w:rsidRPr="00E920F5">
              <w:rPr>
                <w:rFonts w:ascii="Verdana" w:hAnsi="Verdana"/>
              </w:rPr>
              <w:t xml:space="preserve"> vlaka</w:t>
            </w:r>
          </w:p>
        </w:tc>
        <w:tc>
          <w:tcPr>
            <w:tcW w:w="2100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samostalno </w:t>
            </w:r>
            <w:r w:rsidR="001840B8" w:rsidRPr="00E920F5">
              <w:rPr>
                <w:rFonts w:ascii="Verdana" w:hAnsi="Verdana" w:cstheme="majorBidi"/>
                <w:bCs/>
                <w:sz w:val="20"/>
                <w:szCs w:val="20"/>
              </w:rPr>
              <w:t>rješavanje zadataka</w:t>
            </w:r>
          </w:p>
        </w:tc>
        <w:tc>
          <w:tcPr>
            <w:tcW w:w="3705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zdr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B.4.1.B Razvija tolerantan odnos prema drugima .</w:t>
            </w:r>
          </w:p>
        </w:tc>
      </w:tr>
      <w:tr w:rsidR="00A6192B" w:rsidRPr="00E920F5" w:rsidTr="00B17A0D">
        <w:trPr>
          <w:trHeight w:val="385"/>
        </w:trPr>
        <w:tc>
          <w:tcPr>
            <w:tcW w:w="1932" w:type="dxa"/>
          </w:tcPr>
          <w:p w:rsidR="00A6192B" w:rsidRPr="00E920F5" w:rsidRDefault="008E48DD" w:rsidP="00E920F5">
            <w:pPr>
              <w:pStyle w:val="Tijeloteksta"/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Kočenje vlakova</w:t>
            </w:r>
          </w:p>
        </w:tc>
        <w:tc>
          <w:tcPr>
            <w:tcW w:w="2792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 -pre</w:t>
            </w:r>
            <w:r w:rsidR="001840B8" w:rsidRPr="00E920F5">
              <w:rPr>
                <w:rFonts w:ascii="Verdana" w:hAnsi="Verdana"/>
                <w:sz w:val="20"/>
                <w:szCs w:val="20"/>
              </w:rPr>
              <w:t>poznati vrste kočnica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-razlikovati </w:t>
            </w:r>
            <w:r w:rsidR="001840B8" w:rsidRPr="00E920F5">
              <w:rPr>
                <w:rFonts w:ascii="Verdana" w:hAnsi="Verdana"/>
                <w:sz w:val="20"/>
                <w:szCs w:val="20"/>
              </w:rPr>
              <w:t xml:space="preserve">mjenjačke uređaje i </w:t>
            </w:r>
            <w:r w:rsidR="008A4EFD" w:rsidRPr="00E920F5">
              <w:rPr>
                <w:rFonts w:ascii="Verdana" w:hAnsi="Verdana"/>
                <w:sz w:val="20"/>
                <w:szCs w:val="20"/>
              </w:rPr>
              <w:t>prepoznati kočnu masu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</w:t>
            </w:r>
            <w:r w:rsidR="008A4EFD" w:rsidRPr="00E920F5">
              <w:rPr>
                <w:rFonts w:ascii="Verdana" w:hAnsi="Verdana"/>
                <w:sz w:val="20"/>
                <w:szCs w:val="20"/>
              </w:rPr>
              <w:t>izračunati stvarnu kočnu masu vlaka</w:t>
            </w:r>
            <w:r w:rsidRPr="00E920F5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</w:t>
            </w:r>
            <w:r w:rsidR="008A4EFD" w:rsidRPr="00E920F5">
              <w:rPr>
                <w:rFonts w:ascii="Verdana" w:hAnsi="Verdana"/>
                <w:sz w:val="20"/>
                <w:szCs w:val="20"/>
              </w:rPr>
              <w:t xml:space="preserve"> izračunati potrebnu kočnu masu  vlaka</w:t>
            </w:r>
          </w:p>
        </w:tc>
        <w:tc>
          <w:tcPr>
            <w:tcW w:w="3463" w:type="dxa"/>
          </w:tcPr>
          <w:p w:rsidR="001840B8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1840B8" w:rsidRPr="00E920F5">
              <w:rPr>
                <w:rFonts w:ascii="Verdana" w:hAnsi="Verdana"/>
                <w:sz w:val="20"/>
                <w:szCs w:val="20"/>
              </w:rPr>
              <w:t>pojam i podjela kočnica na vlakovima</w:t>
            </w:r>
          </w:p>
          <w:p w:rsidR="001840B8" w:rsidRPr="00E920F5" w:rsidRDefault="001840B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mjenjački uređaji na željezničkim vozilima</w:t>
            </w:r>
          </w:p>
          <w:p w:rsidR="001840B8" w:rsidRPr="00E920F5" w:rsidRDefault="001840B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stvarna kočna masa vlaka</w:t>
            </w:r>
          </w:p>
          <w:p w:rsidR="001840B8" w:rsidRPr="00E920F5" w:rsidRDefault="001840B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potrebna kočna masa vlaka</w:t>
            </w:r>
          </w:p>
          <w:p w:rsidR="001840B8" w:rsidRPr="00E920F5" w:rsidRDefault="001840B8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postupci s vlakom koji nije dostatno kočen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</w:tcPr>
          <w:p w:rsidR="00A6192B" w:rsidRPr="00E920F5" w:rsidRDefault="00A6192B" w:rsidP="00E920F5">
            <w:pPr>
              <w:pStyle w:val="Tijeloteksta"/>
              <w:spacing w:line="276" w:lineRule="auto"/>
              <w:rPr>
                <w:rFonts w:ascii="Verdana" w:hAnsi="Verdana"/>
              </w:rPr>
            </w:pPr>
            <w:r w:rsidRPr="00E920F5">
              <w:rPr>
                <w:rFonts w:ascii="Verdana" w:hAnsi="Verdana"/>
              </w:rPr>
              <w:t>Realizirati kroz određene ili prezentacije ili manje seminarske radove</w:t>
            </w:r>
            <w:r w:rsidR="00942933" w:rsidRPr="00E920F5">
              <w:rPr>
                <w:rFonts w:ascii="Verdana" w:hAnsi="Verdana"/>
              </w:rPr>
              <w:t xml:space="preserve"> ili izradu zadataka</w:t>
            </w:r>
          </w:p>
        </w:tc>
        <w:tc>
          <w:tcPr>
            <w:tcW w:w="3705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A.4/5.1. Upravljanje informacijama. Učenik samostalno traži nove informacije iz različitih izvora, transformira ih u novo znanje i uspješno primjenjuje pri rješavanju problema.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ikt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 4.1. Učenik kritički odabire odgovarajuću digitalnu tehnologiju</w:t>
            </w:r>
          </w:p>
        </w:tc>
      </w:tr>
      <w:tr w:rsidR="00A6192B" w:rsidRPr="00E920F5" w:rsidTr="00B17A0D">
        <w:trPr>
          <w:trHeight w:val="385"/>
        </w:trPr>
        <w:tc>
          <w:tcPr>
            <w:tcW w:w="1932" w:type="dxa"/>
          </w:tcPr>
          <w:p w:rsidR="00A6192B" w:rsidRPr="00E920F5" w:rsidRDefault="008E48DD" w:rsidP="00E920F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E920F5">
              <w:rPr>
                <w:rFonts w:ascii="Verdana" w:hAnsi="Verdana"/>
                <w:b/>
                <w:sz w:val="20"/>
                <w:szCs w:val="20"/>
              </w:rPr>
              <w:lastRenderedPageBreak/>
              <w:t>Vozni put vlaka</w:t>
            </w:r>
          </w:p>
        </w:tc>
        <w:tc>
          <w:tcPr>
            <w:tcW w:w="2792" w:type="dxa"/>
          </w:tcPr>
          <w:p w:rsidR="008A4EFD" w:rsidRPr="00E920F5" w:rsidRDefault="008A4EFD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objasniti vrste voznih puteva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objasniti </w:t>
            </w:r>
            <w:r w:rsidR="008A4EFD" w:rsidRPr="00E920F5">
              <w:rPr>
                <w:rFonts w:ascii="Verdana" w:hAnsi="Verdana"/>
                <w:sz w:val="20"/>
                <w:szCs w:val="20"/>
              </w:rPr>
              <w:t>što obuhvaća vozni put vlaka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A4EFD" w:rsidRPr="00E920F5">
              <w:rPr>
                <w:rFonts w:ascii="Verdana" w:hAnsi="Verdana"/>
                <w:sz w:val="20"/>
                <w:szCs w:val="20"/>
              </w:rPr>
              <w:t>vozni put vlaka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8A4EFD" w:rsidRPr="00E920F5">
              <w:rPr>
                <w:rFonts w:ascii="Verdana" w:hAnsi="Verdana"/>
                <w:sz w:val="20"/>
                <w:szCs w:val="20"/>
              </w:rPr>
              <w:t xml:space="preserve">put </w:t>
            </w:r>
            <w:proofErr w:type="spellStart"/>
            <w:r w:rsidR="008A4EFD" w:rsidRPr="00E920F5">
              <w:rPr>
                <w:rFonts w:ascii="Verdana" w:hAnsi="Verdana"/>
                <w:sz w:val="20"/>
                <w:szCs w:val="20"/>
              </w:rPr>
              <w:t>proklizavanja</w:t>
            </w:r>
            <w:proofErr w:type="spellEnd"/>
          </w:p>
        </w:tc>
        <w:tc>
          <w:tcPr>
            <w:tcW w:w="2100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zadaću pronalaženje određenih </w:t>
            </w:r>
            <w:r w:rsidR="008A4EFD" w:rsidRPr="00E920F5">
              <w:rPr>
                <w:rFonts w:ascii="Verdana" w:hAnsi="Verdana" w:cstheme="majorBidi"/>
                <w:bCs/>
                <w:sz w:val="20"/>
                <w:szCs w:val="20"/>
              </w:rPr>
              <w:t>podataka iz pravilnika</w:t>
            </w:r>
          </w:p>
        </w:tc>
        <w:tc>
          <w:tcPr>
            <w:tcW w:w="3705" w:type="dxa"/>
          </w:tcPr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A6192B" w:rsidRPr="00E920F5" w:rsidRDefault="00A6192B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C0ED5" w:rsidRPr="00E920F5" w:rsidTr="00B17A0D">
        <w:trPr>
          <w:trHeight w:val="385"/>
        </w:trPr>
        <w:tc>
          <w:tcPr>
            <w:tcW w:w="1932" w:type="dxa"/>
          </w:tcPr>
          <w:p w:rsidR="001C0ED5" w:rsidRPr="00E920F5" w:rsidRDefault="001C0ED5" w:rsidP="00E920F5">
            <w:pPr>
              <w:pStyle w:val="Zaglavlje"/>
              <w:tabs>
                <w:tab w:val="clear" w:pos="4153"/>
                <w:tab w:val="clear" w:pos="8306"/>
              </w:tabs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Dužnosti osoblja vlaka</w:t>
            </w:r>
          </w:p>
        </w:tc>
        <w:tc>
          <w:tcPr>
            <w:tcW w:w="2792" w:type="dxa"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objasniti dužnosti osoblja vlaka u polaznom kolodvoru i tijekom vožnje vlaka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63" w:type="dxa"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dužnosti osoblja vlaka u polaznom kolodvoru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 dužnosti osoblja vlaka tijekom vožnje vlaka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dužnosti osoblja vlaka pri zaustavljanju na pruzi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vMerge w:val="restart"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Realizirati kroz  pronalaženje pojedinih pojmova u pravilniku</w:t>
            </w:r>
          </w:p>
        </w:tc>
        <w:tc>
          <w:tcPr>
            <w:tcW w:w="3705" w:type="dxa"/>
            <w:vMerge w:val="restart"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uku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A.4/5.4. Učenik samostalno kritički promišlja i vrednuje ideje 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pod A.4.1. Primjenjuje inovativna i kreativna rješenja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proofErr w:type="spellStart"/>
            <w:r w:rsidRPr="00E920F5">
              <w:rPr>
                <w:rFonts w:ascii="Verdana" w:hAnsi="Verdana" w:cstheme="majorBidi"/>
                <w:sz w:val="20"/>
                <w:szCs w:val="20"/>
              </w:rPr>
              <w:t>osr</w:t>
            </w:r>
            <w:proofErr w:type="spellEnd"/>
            <w:r w:rsidRPr="00E920F5">
              <w:rPr>
                <w:rFonts w:ascii="Verdana" w:hAnsi="Verdana" w:cstheme="majorBidi"/>
                <w:sz w:val="20"/>
                <w:szCs w:val="20"/>
              </w:rPr>
              <w:t xml:space="preserve"> B. 4.1. Uviđa posljedice svojih i tuđih izbora</w:t>
            </w:r>
          </w:p>
        </w:tc>
      </w:tr>
      <w:tr w:rsidR="001C0ED5" w:rsidRPr="00E920F5" w:rsidTr="00B17A0D">
        <w:trPr>
          <w:trHeight w:val="385"/>
        </w:trPr>
        <w:tc>
          <w:tcPr>
            <w:tcW w:w="1932" w:type="dxa"/>
          </w:tcPr>
          <w:p w:rsidR="001C0ED5" w:rsidRPr="00E920F5" w:rsidRDefault="001C0ED5" w:rsidP="00E920F5">
            <w:pPr>
              <w:pStyle w:val="Zaglavlje"/>
              <w:tabs>
                <w:tab w:val="clear" w:pos="4153"/>
                <w:tab w:val="clear" w:pos="8306"/>
              </w:tabs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Popratne isprave vlaka</w:t>
            </w:r>
          </w:p>
        </w:tc>
        <w:tc>
          <w:tcPr>
            <w:tcW w:w="2792" w:type="dxa"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-objasniti čemu služi SE-1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-prepoznati podatke iz SE-2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 razjasniti namjenu SE-3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-objasniti ostale popratne isprave vlaka</w:t>
            </w:r>
          </w:p>
        </w:tc>
        <w:tc>
          <w:tcPr>
            <w:tcW w:w="3463" w:type="dxa"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-SE-1, Nalog za vožnju vlaka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-SE-2, Izvješće o sastavu i kočenju vlaka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-SE-3, Pisani nalog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-SE-4 i SE-5</w:t>
            </w:r>
          </w:p>
        </w:tc>
        <w:tc>
          <w:tcPr>
            <w:tcW w:w="2100" w:type="dxa"/>
            <w:vMerge/>
          </w:tcPr>
          <w:p w:rsidR="001C0ED5" w:rsidRPr="00E920F5" w:rsidRDefault="001C0ED5" w:rsidP="00E920F5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1C0ED5" w:rsidRPr="00E920F5" w:rsidRDefault="001C0ED5" w:rsidP="00E920F5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C0ED5" w:rsidRPr="00E920F5" w:rsidTr="00B17A0D">
        <w:trPr>
          <w:trHeight w:val="385"/>
        </w:trPr>
        <w:tc>
          <w:tcPr>
            <w:tcW w:w="1932" w:type="dxa"/>
          </w:tcPr>
          <w:p w:rsidR="001C0ED5" w:rsidRPr="00E920F5" w:rsidRDefault="001C0ED5" w:rsidP="00E920F5">
            <w:pPr>
              <w:pStyle w:val="Zaglavlje"/>
              <w:tabs>
                <w:tab w:val="clear" w:pos="4153"/>
                <w:tab w:val="clear" w:pos="8306"/>
              </w:tabs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Posebne vrste prometa</w:t>
            </w:r>
          </w:p>
        </w:tc>
        <w:tc>
          <w:tcPr>
            <w:tcW w:w="2792" w:type="dxa"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 razlikovati posebne vrste prometa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 objasniti vožnju vlaka po nepravilnom kolosijeku</w:t>
            </w:r>
          </w:p>
        </w:tc>
        <w:tc>
          <w:tcPr>
            <w:tcW w:w="3463" w:type="dxa"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 promet vlaka do nekog mjesta na pruzi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 pomoćne vožnje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-potiskivanje vlaka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 vožnja po nepravilnom kolosijeku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E920F5">
              <w:rPr>
                <w:rFonts w:ascii="Verdana" w:hAnsi="Verdana" w:cstheme="majorBidi"/>
                <w:sz w:val="20"/>
                <w:szCs w:val="20"/>
              </w:rPr>
              <w:t>-zatvaranje pruge</w:t>
            </w:r>
          </w:p>
        </w:tc>
        <w:tc>
          <w:tcPr>
            <w:tcW w:w="2100" w:type="dxa"/>
            <w:vMerge/>
          </w:tcPr>
          <w:p w:rsidR="001C0ED5" w:rsidRPr="00E920F5" w:rsidRDefault="001C0ED5" w:rsidP="00E920F5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1C0ED5" w:rsidRPr="00E920F5" w:rsidRDefault="001C0ED5" w:rsidP="00E920F5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1C0ED5" w:rsidRPr="00E920F5" w:rsidTr="00B17A0D">
        <w:trPr>
          <w:trHeight w:val="385"/>
        </w:trPr>
        <w:tc>
          <w:tcPr>
            <w:tcW w:w="1932" w:type="dxa"/>
          </w:tcPr>
          <w:p w:rsidR="001C0ED5" w:rsidRPr="00E920F5" w:rsidRDefault="001C0ED5" w:rsidP="00E920F5">
            <w:pPr>
              <w:pStyle w:val="Zaglavlje"/>
              <w:tabs>
                <w:tab w:val="clear" w:pos="4153"/>
                <w:tab w:val="clear" w:pos="8306"/>
              </w:tabs>
              <w:spacing w:line="276" w:lineRule="auto"/>
              <w:rPr>
                <w:rFonts w:ascii="Verdana" w:hAnsi="Verdana"/>
                <w:b/>
              </w:rPr>
            </w:pPr>
            <w:r w:rsidRPr="00E920F5">
              <w:rPr>
                <w:rFonts w:ascii="Verdana" w:hAnsi="Verdana"/>
                <w:b/>
              </w:rPr>
              <w:t>Izvanredni događaji</w:t>
            </w:r>
          </w:p>
        </w:tc>
        <w:tc>
          <w:tcPr>
            <w:tcW w:w="2792" w:type="dxa"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 xml:space="preserve"> - razlikovati postupke u slučaju pojedinih izvanrednih događaja</w:t>
            </w:r>
          </w:p>
        </w:tc>
        <w:tc>
          <w:tcPr>
            <w:tcW w:w="3463" w:type="dxa"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</w:t>
            </w:r>
            <w:proofErr w:type="spellStart"/>
            <w:r w:rsidRPr="00E920F5">
              <w:rPr>
                <w:rFonts w:ascii="Verdana" w:hAnsi="Verdana"/>
                <w:sz w:val="20"/>
                <w:szCs w:val="20"/>
              </w:rPr>
              <w:t>raskinuće</w:t>
            </w:r>
            <w:proofErr w:type="spellEnd"/>
            <w:r w:rsidRPr="00E920F5">
              <w:rPr>
                <w:rFonts w:ascii="Verdana" w:hAnsi="Verdana"/>
                <w:sz w:val="20"/>
                <w:szCs w:val="20"/>
              </w:rPr>
              <w:t xml:space="preserve"> vlaka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 iznimno zaustavljanje vlaka na pruzi</w:t>
            </w:r>
          </w:p>
          <w:p w:rsidR="001C0ED5" w:rsidRPr="00E920F5" w:rsidRDefault="001C0ED5" w:rsidP="00E920F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E920F5">
              <w:rPr>
                <w:rFonts w:ascii="Verdana" w:hAnsi="Verdana"/>
                <w:sz w:val="20"/>
                <w:szCs w:val="20"/>
              </w:rPr>
              <w:t>-elementarne nepogode</w:t>
            </w:r>
          </w:p>
        </w:tc>
        <w:tc>
          <w:tcPr>
            <w:tcW w:w="2100" w:type="dxa"/>
            <w:vMerge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</w:tc>
        <w:tc>
          <w:tcPr>
            <w:tcW w:w="3705" w:type="dxa"/>
            <w:vMerge/>
          </w:tcPr>
          <w:p w:rsidR="001C0ED5" w:rsidRPr="00E920F5" w:rsidRDefault="001C0ED5" w:rsidP="00E920F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</w:tbl>
    <w:p w:rsidR="00A6192B" w:rsidRPr="00E920F5" w:rsidRDefault="00A6192B" w:rsidP="00E920F5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1C0ED5" w:rsidRPr="00E920F5" w:rsidRDefault="001C0ED5" w:rsidP="00E920F5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E920F5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:rsidR="001C0ED5" w:rsidRPr="00E920F5" w:rsidRDefault="001C0ED5" w:rsidP="00E920F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:rsidR="001C0ED5" w:rsidRPr="00E920F5" w:rsidRDefault="001C0ED5" w:rsidP="00E920F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E920F5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:rsidR="001C0ED5" w:rsidRPr="00E920F5" w:rsidRDefault="001C0ED5" w:rsidP="00E920F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E920F5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 rubrikom. Za vrednovanje naučenog mogu se koristiti neki od nastavnih sati planiranih za usustavljivanje odgovarajuće teme.</w:t>
      </w:r>
    </w:p>
    <w:p w:rsidR="001C0ED5" w:rsidRPr="00E920F5" w:rsidRDefault="001C0ED5" w:rsidP="00E920F5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A6192B" w:rsidRPr="00E920F5" w:rsidRDefault="00A6192B" w:rsidP="00E920F5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A6192B" w:rsidRPr="00E920F5" w:rsidRDefault="00A6192B" w:rsidP="00E920F5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:rsidR="00A6192B" w:rsidRPr="00E920F5" w:rsidRDefault="00A6192B" w:rsidP="00E920F5">
      <w:pPr>
        <w:spacing w:line="276" w:lineRule="auto"/>
        <w:rPr>
          <w:rFonts w:ascii="Verdana" w:hAnsi="Verdana" w:cstheme="majorBidi"/>
          <w:b/>
          <w:sz w:val="20"/>
          <w:szCs w:val="20"/>
        </w:rPr>
      </w:pPr>
    </w:p>
    <w:p w:rsidR="00A6192B" w:rsidRPr="00E920F5" w:rsidRDefault="00A6192B" w:rsidP="00E920F5">
      <w:pPr>
        <w:spacing w:line="276" w:lineRule="auto"/>
        <w:rPr>
          <w:rFonts w:ascii="Verdana" w:hAnsi="Verdana" w:cstheme="majorBidi"/>
          <w:sz w:val="20"/>
          <w:szCs w:val="20"/>
        </w:rPr>
      </w:pPr>
    </w:p>
    <w:p w:rsidR="00A6192B" w:rsidRPr="00E920F5" w:rsidRDefault="00A6192B" w:rsidP="00E920F5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A6192B" w:rsidRPr="00E920F5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10279F"/>
    <w:rsid w:val="00107A7E"/>
    <w:rsid w:val="00127BFF"/>
    <w:rsid w:val="001301C3"/>
    <w:rsid w:val="0014044A"/>
    <w:rsid w:val="001479A3"/>
    <w:rsid w:val="00151B58"/>
    <w:rsid w:val="00155FE3"/>
    <w:rsid w:val="00176D92"/>
    <w:rsid w:val="001840B8"/>
    <w:rsid w:val="001B3DB6"/>
    <w:rsid w:val="001C0ED5"/>
    <w:rsid w:val="001D5390"/>
    <w:rsid w:val="001F2C18"/>
    <w:rsid w:val="002253F7"/>
    <w:rsid w:val="00237C0A"/>
    <w:rsid w:val="00266446"/>
    <w:rsid w:val="00267BDC"/>
    <w:rsid w:val="00272D00"/>
    <w:rsid w:val="002A167A"/>
    <w:rsid w:val="002A3451"/>
    <w:rsid w:val="002B3592"/>
    <w:rsid w:val="002C39DA"/>
    <w:rsid w:val="002F1747"/>
    <w:rsid w:val="002F65E0"/>
    <w:rsid w:val="00324AB0"/>
    <w:rsid w:val="003379DA"/>
    <w:rsid w:val="003713E3"/>
    <w:rsid w:val="003751B6"/>
    <w:rsid w:val="00383CEF"/>
    <w:rsid w:val="003966DC"/>
    <w:rsid w:val="003A2F93"/>
    <w:rsid w:val="003C445B"/>
    <w:rsid w:val="003C6E9E"/>
    <w:rsid w:val="003E08E5"/>
    <w:rsid w:val="00404746"/>
    <w:rsid w:val="004137D9"/>
    <w:rsid w:val="00414F35"/>
    <w:rsid w:val="00433334"/>
    <w:rsid w:val="00441913"/>
    <w:rsid w:val="00444E27"/>
    <w:rsid w:val="004735B7"/>
    <w:rsid w:val="004E6A96"/>
    <w:rsid w:val="00503265"/>
    <w:rsid w:val="00514411"/>
    <w:rsid w:val="00515658"/>
    <w:rsid w:val="00530045"/>
    <w:rsid w:val="00570E5F"/>
    <w:rsid w:val="00576A14"/>
    <w:rsid w:val="0059664B"/>
    <w:rsid w:val="005A5970"/>
    <w:rsid w:val="005A6D5F"/>
    <w:rsid w:val="005D20DC"/>
    <w:rsid w:val="005F17A6"/>
    <w:rsid w:val="005F32ED"/>
    <w:rsid w:val="0061580E"/>
    <w:rsid w:val="0063017F"/>
    <w:rsid w:val="0063652F"/>
    <w:rsid w:val="0064706B"/>
    <w:rsid w:val="0065084A"/>
    <w:rsid w:val="006521F1"/>
    <w:rsid w:val="00660111"/>
    <w:rsid w:val="00663001"/>
    <w:rsid w:val="00664722"/>
    <w:rsid w:val="00672B65"/>
    <w:rsid w:val="0067685C"/>
    <w:rsid w:val="006869F8"/>
    <w:rsid w:val="00692C89"/>
    <w:rsid w:val="00693E88"/>
    <w:rsid w:val="006B02F9"/>
    <w:rsid w:val="006B75C5"/>
    <w:rsid w:val="0070691C"/>
    <w:rsid w:val="0071330B"/>
    <w:rsid w:val="0071582C"/>
    <w:rsid w:val="00724125"/>
    <w:rsid w:val="00725B35"/>
    <w:rsid w:val="0073351D"/>
    <w:rsid w:val="00734D94"/>
    <w:rsid w:val="00741712"/>
    <w:rsid w:val="00745288"/>
    <w:rsid w:val="00775CCC"/>
    <w:rsid w:val="00792B3A"/>
    <w:rsid w:val="007C67D6"/>
    <w:rsid w:val="007D2811"/>
    <w:rsid w:val="007D3D28"/>
    <w:rsid w:val="00802185"/>
    <w:rsid w:val="0085574A"/>
    <w:rsid w:val="008613ED"/>
    <w:rsid w:val="00882075"/>
    <w:rsid w:val="00884F83"/>
    <w:rsid w:val="008A4EFD"/>
    <w:rsid w:val="008B3FBA"/>
    <w:rsid w:val="008D2006"/>
    <w:rsid w:val="008E025E"/>
    <w:rsid w:val="008E48DD"/>
    <w:rsid w:val="008F3070"/>
    <w:rsid w:val="008F65F9"/>
    <w:rsid w:val="008F7A7D"/>
    <w:rsid w:val="00903EA2"/>
    <w:rsid w:val="00907A3B"/>
    <w:rsid w:val="009100E9"/>
    <w:rsid w:val="00942933"/>
    <w:rsid w:val="00960135"/>
    <w:rsid w:val="00961228"/>
    <w:rsid w:val="00965961"/>
    <w:rsid w:val="00975173"/>
    <w:rsid w:val="009821BB"/>
    <w:rsid w:val="009E41B8"/>
    <w:rsid w:val="00A5152C"/>
    <w:rsid w:val="00A6192B"/>
    <w:rsid w:val="00AB2BD6"/>
    <w:rsid w:val="00AC47CC"/>
    <w:rsid w:val="00AE275B"/>
    <w:rsid w:val="00AE3135"/>
    <w:rsid w:val="00AF1310"/>
    <w:rsid w:val="00AF65A0"/>
    <w:rsid w:val="00B1448B"/>
    <w:rsid w:val="00B30769"/>
    <w:rsid w:val="00B33C34"/>
    <w:rsid w:val="00B35E09"/>
    <w:rsid w:val="00B42EF9"/>
    <w:rsid w:val="00BA251E"/>
    <w:rsid w:val="00BB1D75"/>
    <w:rsid w:val="00BC616A"/>
    <w:rsid w:val="00BE7124"/>
    <w:rsid w:val="00C165D3"/>
    <w:rsid w:val="00C17E8D"/>
    <w:rsid w:val="00C263E0"/>
    <w:rsid w:val="00C3202B"/>
    <w:rsid w:val="00C32C8C"/>
    <w:rsid w:val="00C53FDC"/>
    <w:rsid w:val="00C6194B"/>
    <w:rsid w:val="00C63D26"/>
    <w:rsid w:val="00C83B5D"/>
    <w:rsid w:val="00C851F2"/>
    <w:rsid w:val="00CB25E1"/>
    <w:rsid w:val="00D121B4"/>
    <w:rsid w:val="00D15C23"/>
    <w:rsid w:val="00D97781"/>
    <w:rsid w:val="00DA05C8"/>
    <w:rsid w:val="00DC0056"/>
    <w:rsid w:val="00DC4FA5"/>
    <w:rsid w:val="00DD62C8"/>
    <w:rsid w:val="00E30426"/>
    <w:rsid w:val="00E3631D"/>
    <w:rsid w:val="00E42B39"/>
    <w:rsid w:val="00E62155"/>
    <w:rsid w:val="00E72BE2"/>
    <w:rsid w:val="00E80942"/>
    <w:rsid w:val="00E920F5"/>
    <w:rsid w:val="00E97522"/>
    <w:rsid w:val="00E97D89"/>
    <w:rsid w:val="00EE4B0D"/>
    <w:rsid w:val="00F23DF5"/>
    <w:rsid w:val="00F318B8"/>
    <w:rsid w:val="00F45A47"/>
    <w:rsid w:val="00F45CC4"/>
    <w:rsid w:val="00F51744"/>
    <w:rsid w:val="00FA50AC"/>
    <w:rsid w:val="00FB415D"/>
    <w:rsid w:val="00FC0C31"/>
    <w:rsid w:val="00FD0FFA"/>
    <w:rsid w:val="00FD72A6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AF2A8-B96C-4A28-A0DA-84CB2876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70691C"/>
    <w:pPr>
      <w:spacing w:after="120"/>
    </w:pPr>
    <w:rPr>
      <w:sz w:val="20"/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0691C"/>
    <w:rPr>
      <w:rFonts w:ascii="Times New Roman" w:eastAsia="Times New Roman" w:hAnsi="Times New Roman" w:cs="Times New Roman"/>
      <w:sz w:val="20"/>
      <w:szCs w:val="20"/>
    </w:rPr>
  </w:style>
  <w:style w:type="paragraph" w:styleId="Zaglavlje">
    <w:name w:val="header"/>
    <w:basedOn w:val="Normal"/>
    <w:link w:val="ZaglavljeChar"/>
    <w:rsid w:val="00C63D26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ZaglavljeChar">
    <w:name w:val="Zaglavlje Char"/>
    <w:basedOn w:val="Zadanifontodlomka"/>
    <w:link w:val="Zaglavlje"/>
    <w:rsid w:val="00C63D2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1667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11153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3</cp:revision>
  <cp:lastPrinted>2020-09-21T10:28:00Z</cp:lastPrinted>
  <dcterms:created xsi:type="dcterms:W3CDTF">2020-10-07T07:33:00Z</dcterms:created>
  <dcterms:modified xsi:type="dcterms:W3CDTF">2020-10-08T09:27:00Z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